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846E89">
        <w:trPr>
          <w:tblCellSpacing w:w="60" w:type="dxa"/>
        </w:trPr>
        <w:tc>
          <w:tcPr>
            <w:tcW w:w="1200" w:type="pct"/>
            <w:shd w:val="clear" w:color="auto" w:fill="E7F0F9"/>
          </w:tcPr>
          <w:p w:rsidR="00846E89" w:rsidRDefault="006A392F">
            <w:pPr>
              <w:spacing w:after="0" w:line="240" w:lineRule="auto"/>
            </w:pPr>
            <w:r>
              <w:rPr>
                <w:b/>
              </w:rPr>
              <w:t>RKP broj</w:t>
            </w:r>
          </w:p>
        </w:tc>
        <w:tc>
          <w:tcPr>
            <w:tcW w:w="0" w:type="auto"/>
            <w:shd w:val="clear" w:color="auto" w:fill="E7F0F9"/>
          </w:tcPr>
          <w:p w:rsidR="00846E89" w:rsidRDefault="006A392F">
            <w:pPr>
              <w:spacing w:after="0" w:line="240" w:lineRule="auto"/>
            </w:pPr>
            <w:r>
              <w:t>14200</w:t>
            </w:r>
          </w:p>
        </w:tc>
      </w:tr>
      <w:tr w:rsidR="00846E89">
        <w:trPr>
          <w:tblCellSpacing w:w="60" w:type="dxa"/>
        </w:trPr>
        <w:tc>
          <w:tcPr>
            <w:tcW w:w="1200" w:type="pct"/>
            <w:shd w:val="clear" w:color="auto" w:fill="E7F0F9"/>
          </w:tcPr>
          <w:p w:rsidR="00846E89" w:rsidRDefault="006A392F">
            <w:pPr>
              <w:spacing w:after="0" w:line="240" w:lineRule="auto"/>
            </w:pPr>
            <w:r>
              <w:rPr>
                <w:b/>
              </w:rPr>
              <w:t>Naziv obveznika</w:t>
            </w:r>
          </w:p>
        </w:tc>
        <w:tc>
          <w:tcPr>
            <w:tcW w:w="0" w:type="auto"/>
            <w:shd w:val="clear" w:color="auto" w:fill="E7F0F9"/>
          </w:tcPr>
          <w:p w:rsidR="00846E89" w:rsidRDefault="006A392F">
            <w:pPr>
              <w:spacing w:after="0" w:line="240" w:lineRule="auto"/>
            </w:pPr>
            <w:r>
              <w:t>GLAZBENA ŠKOLA U VARAŽDINU</w:t>
            </w:r>
          </w:p>
        </w:tc>
      </w:tr>
      <w:tr w:rsidR="00846E89">
        <w:trPr>
          <w:tblCellSpacing w:w="60" w:type="dxa"/>
        </w:trPr>
        <w:tc>
          <w:tcPr>
            <w:tcW w:w="1200" w:type="pct"/>
            <w:shd w:val="clear" w:color="auto" w:fill="E7F0F9"/>
          </w:tcPr>
          <w:p w:rsidR="00846E89" w:rsidRDefault="006A392F">
            <w:pPr>
              <w:spacing w:after="0" w:line="240" w:lineRule="auto"/>
            </w:pPr>
            <w:r>
              <w:rPr>
                <w:b/>
              </w:rPr>
              <w:t>Razina</w:t>
            </w:r>
          </w:p>
        </w:tc>
        <w:tc>
          <w:tcPr>
            <w:tcW w:w="0" w:type="auto"/>
            <w:shd w:val="clear" w:color="auto" w:fill="E7F0F9"/>
          </w:tcPr>
          <w:p w:rsidR="00846E89" w:rsidRDefault="006A392F">
            <w:pPr>
              <w:spacing w:after="0" w:line="240" w:lineRule="auto"/>
            </w:pPr>
            <w:r>
              <w:t>31</w:t>
            </w:r>
          </w:p>
        </w:tc>
      </w:tr>
    </w:tbl>
    <w:p w:rsidR="00846E89" w:rsidRDefault="006A392F">
      <w:r>
        <w:br/>
      </w:r>
    </w:p>
    <w:p w:rsidR="00846E89" w:rsidRDefault="006A392F">
      <w:pPr>
        <w:spacing w:line="240" w:lineRule="auto"/>
        <w:jc w:val="center"/>
      </w:pPr>
      <w:r>
        <w:rPr>
          <w:b/>
          <w:sz w:val="28"/>
        </w:rPr>
        <w:t>BILJEŠKE UZ FINANCIJSKE IZVJEŠTAJE</w:t>
      </w:r>
    </w:p>
    <w:p w:rsidR="00846E89" w:rsidRDefault="006A392F">
      <w:pPr>
        <w:spacing w:line="240" w:lineRule="auto"/>
        <w:jc w:val="center"/>
      </w:pPr>
      <w:r>
        <w:rPr>
          <w:b/>
          <w:sz w:val="28"/>
        </w:rPr>
        <w:t>ZA RAZDOBLJE</w:t>
      </w:r>
    </w:p>
    <w:p w:rsidR="00846E89" w:rsidRDefault="006A392F">
      <w:pPr>
        <w:spacing w:line="240" w:lineRule="auto"/>
        <w:jc w:val="center"/>
      </w:pPr>
      <w:r>
        <w:rPr>
          <w:b/>
          <w:sz w:val="28"/>
        </w:rPr>
        <w:t>I - VI 2025.</w:t>
      </w:r>
    </w:p>
    <w:p w:rsidR="00846E89" w:rsidRDefault="00846E89"/>
    <w:p w:rsidR="00846E89" w:rsidRDefault="006A392F">
      <w:pPr>
        <w:keepNext/>
        <w:spacing w:line="240" w:lineRule="auto"/>
        <w:jc w:val="center"/>
      </w:pPr>
      <w:r>
        <w:rPr>
          <w:b/>
          <w:sz w:val="28"/>
        </w:rPr>
        <w:t>Izvještaj o prihodima i rashodima, primicima i izdacima</w:t>
      </w:r>
    </w:p>
    <w:p w:rsidR="00846E89" w:rsidRDefault="006A392F">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w:t>
            </w:r>
          </w:p>
        </w:tc>
        <w:tc>
          <w:tcPr>
            <w:tcW w:w="3180" w:type="dxa"/>
            <w:tcMar>
              <w:top w:w="0" w:type="dxa"/>
              <w:bottom w:w="0" w:type="dxa"/>
            </w:tcMar>
            <w:vAlign w:val="center"/>
          </w:tcPr>
          <w:p w:rsidR="00846E89" w:rsidRDefault="006A392F">
            <w:pPr>
              <w:keepNext/>
              <w:keepLines/>
              <w:spacing w:after="0" w:line="240" w:lineRule="auto"/>
            </w:pPr>
            <w:r>
              <w:rPr>
                <w:sz w:val="18"/>
              </w:rPr>
              <w:t>PRIHODI POSLOVANJA (šifre 61+62+63+64+65+66+67+68)</w:t>
            </w:r>
          </w:p>
        </w:tc>
        <w:tc>
          <w:tcPr>
            <w:tcW w:w="700" w:type="dxa"/>
            <w:tcMar>
              <w:top w:w="0" w:type="dxa"/>
              <w:bottom w:w="0" w:type="dxa"/>
            </w:tcMar>
            <w:vAlign w:val="center"/>
          </w:tcPr>
          <w:p w:rsidR="00846E89" w:rsidRDefault="006A392F">
            <w:pPr>
              <w:keepNext/>
              <w:keepLines/>
              <w:spacing w:after="0" w:line="240" w:lineRule="auto"/>
            </w:pPr>
            <w:r>
              <w:rPr>
                <w:sz w:val="18"/>
              </w:rPr>
              <w:t>6</w:t>
            </w:r>
          </w:p>
        </w:tc>
        <w:tc>
          <w:tcPr>
            <w:tcW w:w="1860" w:type="dxa"/>
            <w:tcMar>
              <w:top w:w="0" w:type="dxa"/>
              <w:bottom w:w="0" w:type="dxa"/>
            </w:tcMar>
            <w:vAlign w:val="center"/>
          </w:tcPr>
          <w:p w:rsidR="00846E89" w:rsidRDefault="006A392F">
            <w:pPr>
              <w:keepNext/>
              <w:keepLines/>
              <w:spacing w:after="0" w:line="240" w:lineRule="auto"/>
              <w:jc w:val="right"/>
            </w:pPr>
            <w:r>
              <w:rPr>
                <w:sz w:val="18"/>
              </w:rPr>
              <w:t>1.822.651,48</w:t>
            </w:r>
          </w:p>
        </w:tc>
        <w:tc>
          <w:tcPr>
            <w:tcW w:w="1860" w:type="dxa"/>
            <w:tcMar>
              <w:top w:w="0" w:type="dxa"/>
              <w:bottom w:w="0" w:type="dxa"/>
            </w:tcMar>
            <w:vAlign w:val="center"/>
          </w:tcPr>
          <w:p w:rsidR="00846E89" w:rsidRDefault="006A392F">
            <w:pPr>
              <w:keepNext/>
              <w:keepLines/>
              <w:spacing w:after="0" w:line="240" w:lineRule="auto"/>
              <w:jc w:val="right"/>
            </w:pPr>
            <w:r>
              <w:rPr>
                <w:sz w:val="18"/>
              </w:rPr>
              <w:t>2.234.425,46</w:t>
            </w:r>
          </w:p>
        </w:tc>
        <w:tc>
          <w:tcPr>
            <w:tcW w:w="700" w:type="dxa"/>
            <w:tcMar>
              <w:top w:w="0" w:type="dxa"/>
              <w:bottom w:w="0" w:type="dxa"/>
            </w:tcMar>
            <w:vAlign w:val="center"/>
          </w:tcPr>
          <w:p w:rsidR="00846E89" w:rsidRDefault="006A392F">
            <w:pPr>
              <w:keepNext/>
              <w:keepLines/>
              <w:spacing w:after="0" w:line="240" w:lineRule="auto"/>
              <w:jc w:val="right"/>
            </w:pPr>
            <w:r>
              <w:rPr>
                <w:sz w:val="18"/>
              </w:rPr>
              <w:t>122,6</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w:t>
            </w:r>
          </w:p>
        </w:tc>
        <w:tc>
          <w:tcPr>
            <w:tcW w:w="3180" w:type="dxa"/>
            <w:tcMar>
              <w:top w:w="0" w:type="dxa"/>
              <w:bottom w:w="0" w:type="dxa"/>
            </w:tcMar>
            <w:vAlign w:val="center"/>
          </w:tcPr>
          <w:p w:rsidR="00846E89" w:rsidRDefault="006A392F">
            <w:pPr>
              <w:keepNext/>
              <w:keepLines/>
              <w:spacing w:after="0" w:line="240" w:lineRule="auto"/>
            </w:pPr>
            <w:r>
              <w:rPr>
                <w:sz w:val="18"/>
              </w:rPr>
              <w:t>RASHODI POSLOVANJA (šifre 31+32+34+35+36+37+38)</w:t>
            </w:r>
          </w:p>
        </w:tc>
        <w:tc>
          <w:tcPr>
            <w:tcW w:w="700" w:type="dxa"/>
            <w:tcMar>
              <w:top w:w="0" w:type="dxa"/>
              <w:bottom w:w="0" w:type="dxa"/>
            </w:tcMar>
            <w:vAlign w:val="center"/>
          </w:tcPr>
          <w:p w:rsidR="00846E89" w:rsidRDefault="006A392F">
            <w:pPr>
              <w:keepNext/>
              <w:keepLines/>
              <w:spacing w:after="0" w:line="240" w:lineRule="auto"/>
            </w:pPr>
            <w:r>
              <w:rPr>
                <w:sz w:val="18"/>
              </w:rPr>
              <w:t>3</w:t>
            </w:r>
          </w:p>
        </w:tc>
        <w:tc>
          <w:tcPr>
            <w:tcW w:w="1860" w:type="dxa"/>
            <w:tcMar>
              <w:top w:w="0" w:type="dxa"/>
              <w:bottom w:w="0" w:type="dxa"/>
            </w:tcMar>
            <w:vAlign w:val="center"/>
          </w:tcPr>
          <w:p w:rsidR="00846E89" w:rsidRDefault="006A392F">
            <w:pPr>
              <w:keepNext/>
              <w:keepLines/>
              <w:spacing w:after="0" w:line="240" w:lineRule="auto"/>
              <w:jc w:val="right"/>
            </w:pPr>
            <w:r>
              <w:rPr>
                <w:sz w:val="18"/>
              </w:rPr>
              <w:t>1.851.197,46</w:t>
            </w:r>
          </w:p>
        </w:tc>
        <w:tc>
          <w:tcPr>
            <w:tcW w:w="1860" w:type="dxa"/>
            <w:tcMar>
              <w:top w:w="0" w:type="dxa"/>
              <w:bottom w:w="0" w:type="dxa"/>
            </w:tcMar>
            <w:vAlign w:val="center"/>
          </w:tcPr>
          <w:p w:rsidR="00846E89" w:rsidRDefault="006A392F">
            <w:pPr>
              <w:keepNext/>
              <w:keepLines/>
              <w:spacing w:after="0" w:line="240" w:lineRule="auto"/>
              <w:jc w:val="right"/>
            </w:pPr>
            <w:r>
              <w:rPr>
                <w:sz w:val="18"/>
              </w:rPr>
              <w:t>2.567.688,80</w:t>
            </w:r>
          </w:p>
        </w:tc>
        <w:tc>
          <w:tcPr>
            <w:tcW w:w="700" w:type="dxa"/>
            <w:tcMar>
              <w:top w:w="0" w:type="dxa"/>
              <w:bottom w:w="0" w:type="dxa"/>
            </w:tcMar>
            <w:vAlign w:val="center"/>
          </w:tcPr>
          <w:p w:rsidR="00846E89" w:rsidRDefault="006A392F">
            <w:pPr>
              <w:keepNext/>
              <w:keepLines/>
              <w:spacing w:after="0" w:line="240" w:lineRule="auto"/>
              <w:jc w:val="right"/>
            </w:pPr>
            <w:r>
              <w:rPr>
                <w:sz w:val="18"/>
              </w:rPr>
              <w:t>138,7</w:t>
            </w:r>
          </w:p>
        </w:tc>
      </w:tr>
      <w:tr w:rsidR="00846E89">
        <w:trPr>
          <w:cantSplit/>
          <w:trHeight w:val="560"/>
        </w:trPr>
        <w:tc>
          <w:tcPr>
            <w:tcW w:w="700" w:type="dxa"/>
            <w:tcMar>
              <w:top w:w="0" w:type="dxa"/>
              <w:bottom w:w="0" w:type="dxa"/>
            </w:tcMar>
            <w:vAlign w:val="center"/>
          </w:tcPr>
          <w:p w:rsidR="00846E89" w:rsidRDefault="00846E89">
            <w:pPr>
              <w:keepNext/>
              <w:keepLines/>
              <w:spacing w:after="0" w:line="240" w:lineRule="auto"/>
            </w:pPr>
          </w:p>
        </w:tc>
        <w:tc>
          <w:tcPr>
            <w:tcW w:w="3180" w:type="dxa"/>
            <w:tcMar>
              <w:top w:w="0" w:type="dxa"/>
              <w:bottom w:w="0" w:type="dxa"/>
            </w:tcMar>
            <w:vAlign w:val="center"/>
          </w:tcPr>
          <w:p w:rsidR="00846E89" w:rsidRDefault="006A392F">
            <w:pPr>
              <w:keepNext/>
              <w:keepLines/>
              <w:spacing w:after="0" w:line="240" w:lineRule="auto"/>
            </w:pPr>
            <w:r>
              <w:rPr>
                <w:b/>
                <w:sz w:val="18"/>
              </w:rPr>
              <w:t>MANJAK PRIHODA POSLOVANJA (šifre Z005-6)</w:t>
            </w:r>
          </w:p>
        </w:tc>
        <w:tc>
          <w:tcPr>
            <w:tcW w:w="700" w:type="dxa"/>
            <w:tcMar>
              <w:top w:w="0" w:type="dxa"/>
              <w:bottom w:w="0" w:type="dxa"/>
            </w:tcMar>
            <w:vAlign w:val="center"/>
          </w:tcPr>
          <w:p w:rsidR="00846E89" w:rsidRDefault="006A392F">
            <w:pPr>
              <w:keepNext/>
              <w:keepLines/>
              <w:spacing w:after="0" w:line="240" w:lineRule="auto"/>
            </w:pPr>
            <w:r>
              <w:rPr>
                <w:b/>
                <w:sz w:val="18"/>
              </w:rPr>
              <w:t>Y001</w:t>
            </w:r>
          </w:p>
        </w:tc>
        <w:tc>
          <w:tcPr>
            <w:tcW w:w="1860" w:type="dxa"/>
            <w:tcMar>
              <w:top w:w="0" w:type="dxa"/>
              <w:bottom w:w="0" w:type="dxa"/>
            </w:tcMar>
            <w:vAlign w:val="center"/>
          </w:tcPr>
          <w:p w:rsidR="00846E89" w:rsidRDefault="006A392F">
            <w:pPr>
              <w:keepNext/>
              <w:keepLines/>
              <w:spacing w:after="0" w:line="240" w:lineRule="auto"/>
              <w:jc w:val="right"/>
            </w:pPr>
            <w:r>
              <w:rPr>
                <w:b/>
                <w:sz w:val="18"/>
              </w:rPr>
              <w:t>28.545,98</w:t>
            </w:r>
          </w:p>
        </w:tc>
        <w:tc>
          <w:tcPr>
            <w:tcW w:w="1860" w:type="dxa"/>
            <w:tcMar>
              <w:top w:w="0" w:type="dxa"/>
              <w:bottom w:w="0" w:type="dxa"/>
            </w:tcMar>
            <w:vAlign w:val="center"/>
          </w:tcPr>
          <w:p w:rsidR="00846E89" w:rsidRDefault="006A392F">
            <w:pPr>
              <w:keepNext/>
              <w:keepLines/>
              <w:spacing w:after="0" w:line="240" w:lineRule="auto"/>
              <w:jc w:val="right"/>
            </w:pPr>
            <w:r>
              <w:rPr>
                <w:b/>
                <w:sz w:val="18"/>
              </w:rPr>
              <w:t>333.263,34</w:t>
            </w:r>
          </w:p>
        </w:tc>
        <w:tc>
          <w:tcPr>
            <w:tcW w:w="700" w:type="dxa"/>
            <w:tcMar>
              <w:top w:w="0" w:type="dxa"/>
              <w:bottom w:w="0" w:type="dxa"/>
            </w:tcMar>
            <w:vAlign w:val="center"/>
          </w:tcPr>
          <w:p w:rsidR="00846E89" w:rsidRDefault="006A392F">
            <w:pPr>
              <w:keepNext/>
              <w:keepLines/>
              <w:spacing w:after="0" w:line="240" w:lineRule="auto"/>
              <w:jc w:val="right"/>
            </w:pPr>
            <w:r>
              <w:rPr>
                <w:b/>
                <w:sz w:val="18"/>
              </w:rPr>
              <w:t>1167,5</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7</w:t>
            </w:r>
          </w:p>
        </w:tc>
        <w:tc>
          <w:tcPr>
            <w:tcW w:w="3180" w:type="dxa"/>
            <w:tcMar>
              <w:top w:w="0" w:type="dxa"/>
              <w:bottom w:w="0" w:type="dxa"/>
            </w:tcMar>
            <w:vAlign w:val="center"/>
          </w:tcPr>
          <w:p w:rsidR="00846E89" w:rsidRDefault="006A392F">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846E89" w:rsidRDefault="006A392F">
            <w:pPr>
              <w:keepNext/>
              <w:keepLines/>
              <w:spacing w:after="0" w:line="240" w:lineRule="auto"/>
            </w:pPr>
            <w:r>
              <w:rPr>
                <w:sz w:val="18"/>
              </w:rPr>
              <w:t>7</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700" w:type="dxa"/>
            <w:tcMar>
              <w:top w:w="0" w:type="dxa"/>
              <w:bottom w:w="0" w:type="dxa"/>
            </w:tcMar>
            <w:vAlign w:val="center"/>
          </w:tcPr>
          <w:p w:rsidR="00846E89" w:rsidRDefault="006A392F">
            <w:pPr>
              <w:keepNext/>
              <w:keepLines/>
              <w:spacing w:after="0" w:line="240" w:lineRule="auto"/>
              <w:jc w:val="right"/>
            </w:pPr>
            <w:r>
              <w:rPr>
                <w:sz w:val="18"/>
              </w:rPr>
              <w:t>-</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4</w:t>
            </w:r>
          </w:p>
        </w:tc>
        <w:tc>
          <w:tcPr>
            <w:tcW w:w="3180" w:type="dxa"/>
            <w:tcMar>
              <w:top w:w="0" w:type="dxa"/>
              <w:bottom w:w="0" w:type="dxa"/>
            </w:tcMar>
            <w:vAlign w:val="center"/>
          </w:tcPr>
          <w:p w:rsidR="00846E89" w:rsidRDefault="006A392F">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846E89" w:rsidRDefault="006A392F">
            <w:pPr>
              <w:keepNext/>
              <w:keepLines/>
              <w:spacing w:after="0" w:line="240" w:lineRule="auto"/>
            </w:pPr>
            <w:r>
              <w:rPr>
                <w:sz w:val="18"/>
              </w:rPr>
              <w:t>4</w:t>
            </w:r>
          </w:p>
        </w:tc>
        <w:tc>
          <w:tcPr>
            <w:tcW w:w="1860" w:type="dxa"/>
            <w:tcMar>
              <w:top w:w="0" w:type="dxa"/>
              <w:bottom w:w="0" w:type="dxa"/>
            </w:tcMar>
            <w:vAlign w:val="center"/>
          </w:tcPr>
          <w:p w:rsidR="00846E89" w:rsidRDefault="006A392F">
            <w:pPr>
              <w:keepNext/>
              <w:keepLines/>
              <w:spacing w:after="0" w:line="240" w:lineRule="auto"/>
              <w:jc w:val="right"/>
            </w:pPr>
            <w:r>
              <w:rPr>
                <w:sz w:val="18"/>
              </w:rPr>
              <w:t>12.063,28</w:t>
            </w:r>
          </w:p>
        </w:tc>
        <w:tc>
          <w:tcPr>
            <w:tcW w:w="1860" w:type="dxa"/>
            <w:tcMar>
              <w:top w:w="0" w:type="dxa"/>
              <w:bottom w:w="0" w:type="dxa"/>
            </w:tcMar>
            <w:vAlign w:val="center"/>
          </w:tcPr>
          <w:p w:rsidR="00846E89" w:rsidRDefault="006A392F">
            <w:pPr>
              <w:keepNext/>
              <w:keepLines/>
              <w:spacing w:after="0" w:line="240" w:lineRule="auto"/>
              <w:jc w:val="right"/>
            </w:pPr>
            <w:r>
              <w:rPr>
                <w:sz w:val="18"/>
              </w:rPr>
              <w:t>15.757,86</w:t>
            </w:r>
          </w:p>
        </w:tc>
        <w:tc>
          <w:tcPr>
            <w:tcW w:w="700" w:type="dxa"/>
            <w:tcMar>
              <w:top w:w="0" w:type="dxa"/>
              <w:bottom w:w="0" w:type="dxa"/>
            </w:tcMar>
            <w:vAlign w:val="center"/>
          </w:tcPr>
          <w:p w:rsidR="00846E89" w:rsidRDefault="006A392F">
            <w:pPr>
              <w:keepNext/>
              <w:keepLines/>
              <w:spacing w:after="0" w:line="240" w:lineRule="auto"/>
              <w:jc w:val="right"/>
            </w:pPr>
            <w:r>
              <w:rPr>
                <w:sz w:val="18"/>
              </w:rPr>
              <w:t>130,6</w:t>
            </w:r>
          </w:p>
        </w:tc>
      </w:tr>
      <w:tr w:rsidR="00846E89">
        <w:trPr>
          <w:cantSplit/>
          <w:trHeight w:val="560"/>
        </w:trPr>
        <w:tc>
          <w:tcPr>
            <w:tcW w:w="700" w:type="dxa"/>
            <w:tcMar>
              <w:top w:w="0" w:type="dxa"/>
              <w:bottom w:w="0" w:type="dxa"/>
            </w:tcMar>
            <w:vAlign w:val="center"/>
          </w:tcPr>
          <w:p w:rsidR="00846E89" w:rsidRDefault="00846E89">
            <w:pPr>
              <w:keepNext/>
              <w:keepLines/>
              <w:spacing w:after="0" w:line="240" w:lineRule="auto"/>
            </w:pPr>
          </w:p>
        </w:tc>
        <w:tc>
          <w:tcPr>
            <w:tcW w:w="3180" w:type="dxa"/>
            <w:tcMar>
              <w:top w:w="0" w:type="dxa"/>
              <w:bottom w:w="0" w:type="dxa"/>
            </w:tcMar>
            <w:vAlign w:val="center"/>
          </w:tcPr>
          <w:p w:rsidR="00846E89" w:rsidRDefault="006A392F">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846E89" w:rsidRDefault="006A392F">
            <w:pPr>
              <w:keepNext/>
              <w:keepLines/>
              <w:spacing w:after="0" w:line="240" w:lineRule="auto"/>
            </w:pPr>
            <w:r>
              <w:rPr>
                <w:b/>
                <w:sz w:val="18"/>
              </w:rPr>
              <w:t>Y002</w:t>
            </w:r>
          </w:p>
        </w:tc>
        <w:tc>
          <w:tcPr>
            <w:tcW w:w="1860" w:type="dxa"/>
            <w:tcMar>
              <w:top w:w="0" w:type="dxa"/>
              <w:bottom w:w="0" w:type="dxa"/>
            </w:tcMar>
            <w:vAlign w:val="center"/>
          </w:tcPr>
          <w:p w:rsidR="00846E89" w:rsidRDefault="006A392F">
            <w:pPr>
              <w:keepNext/>
              <w:keepLines/>
              <w:spacing w:after="0" w:line="240" w:lineRule="auto"/>
              <w:jc w:val="right"/>
            </w:pPr>
            <w:r>
              <w:rPr>
                <w:b/>
                <w:sz w:val="18"/>
              </w:rPr>
              <w:t>12.063,28</w:t>
            </w:r>
          </w:p>
        </w:tc>
        <w:tc>
          <w:tcPr>
            <w:tcW w:w="1860" w:type="dxa"/>
            <w:tcMar>
              <w:top w:w="0" w:type="dxa"/>
              <w:bottom w:w="0" w:type="dxa"/>
            </w:tcMar>
            <w:vAlign w:val="center"/>
          </w:tcPr>
          <w:p w:rsidR="00846E89" w:rsidRDefault="006A392F">
            <w:pPr>
              <w:keepNext/>
              <w:keepLines/>
              <w:spacing w:after="0" w:line="240" w:lineRule="auto"/>
              <w:jc w:val="right"/>
            </w:pPr>
            <w:r>
              <w:rPr>
                <w:b/>
                <w:sz w:val="18"/>
              </w:rPr>
              <w:t>15.757,86</w:t>
            </w:r>
          </w:p>
        </w:tc>
        <w:tc>
          <w:tcPr>
            <w:tcW w:w="700" w:type="dxa"/>
            <w:tcMar>
              <w:top w:w="0" w:type="dxa"/>
              <w:bottom w:w="0" w:type="dxa"/>
            </w:tcMar>
            <w:vAlign w:val="center"/>
          </w:tcPr>
          <w:p w:rsidR="00846E89" w:rsidRDefault="006A392F">
            <w:pPr>
              <w:keepNext/>
              <w:keepLines/>
              <w:spacing w:after="0" w:line="240" w:lineRule="auto"/>
              <w:jc w:val="right"/>
            </w:pPr>
            <w:r>
              <w:rPr>
                <w:b/>
                <w:sz w:val="18"/>
              </w:rPr>
              <w:t>130,6</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8</w:t>
            </w:r>
          </w:p>
        </w:tc>
        <w:tc>
          <w:tcPr>
            <w:tcW w:w="3180" w:type="dxa"/>
            <w:tcMar>
              <w:top w:w="0" w:type="dxa"/>
              <w:bottom w:w="0" w:type="dxa"/>
            </w:tcMar>
            <w:vAlign w:val="center"/>
          </w:tcPr>
          <w:p w:rsidR="00846E89" w:rsidRDefault="006A392F">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846E89" w:rsidRDefault="006A392F">
            <w:pPr>
              <w:keepNext/>
              <w:keepLines/>
              <w:spacing w:after="0" w:line="240" w:lineRule="auto"/>
            </w:pPr>
            <w:r>
              <w:rPr>
                <w:sz w:val="18"/>
              </w:rPr>
              <w:t>8</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700" w:type="dxa"/>
            <w:tcMar>
              <w:top w:w="0" w:type="dxa"/>
              <w:bottom w:w="0" w:type="dxa"/>
            </w:tcMar>
            <w:vAlign w:val="center"/>
          </w:tcPr>
          <w:p w:rsidR="00846E89" w:rsidRDefault="006A392F">
            <w:pPr>
              <w:keepNext/>
              <w:keepLines/>
              <w:spacing w:after="0" w:line="240" w:lineRule="auto"/>
              <w:jc w:val="right"/>
            </w:pPr>
            <w:r>
              <w:rPr>
                <w:sz w:val="18"/>
              </w:rPr>
              <w:t>-</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5</w:t>
            </w:r>
          </w:p>
        </w:tc>
        <w:tc>
          <w:tcPr>
            <w:tcW w:w="3180" w:type="dxa"/>
            <w:tcMar>
              <w:top w:w="0" w:type="dxa"/>
              <w:bottom w:w="0" w:type="dxa"/>
            </w:tcMar>
            <w:vAlign w:val="center"/>
          </w:tcPr>
          <w:p w:rsidR="00846E89" w:rsidRDefault="006A392F">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846E89" w:rsidRDefault="006A392F">
            <w:pPr>
              <w:keepNext/>
              <w:keepLines/>
              <w:spacing w:after="0" w:line="240" w:lineRule="auto"/>
            </w:pPr>
            <w:r>
              <w:rPr>
                <w:sz w:val="18"/>
              </w:rPr>
              <w:t>5</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700" w:type="dxa"/>
            <w:tcMar>
              <w:top w:w="0" w:type="dxa"/>
              <w:bottom w:w="0" w:type="dxa"/>
            </w:tcMar>
            <w:vAlign w:val="center"/>
          </w:tcPr>
          <w:p w:rsidR="00846E89" w:rsidRDefault="006A392F">
            <w:pPr>
              <w:keepNext/>
              <w:keepLines/>
              <w:spacing w:after="0" w:line="240" w:lineRule="auto"/>
              <w:jc w:val="right"/>
            </w:pPr>
            <w:r>
              <w:rPr>
                <w:sz w:val="18"/>
              </w:rPr>
              <w:t>-</w:t>
            </w:r>
          </w:p>
        </w:tc>
      </w:tr>
      <w:tr w:rsidR="00846E89">
        <w:trPr>
          <w:cantSplit/>
          <w:trHeight w:val="560"/>
        </w:trPr>
        <w:tc>
          <w:tcPr>
            <w:tcW w:w="700" w:type="dxa"/>
            <w:tcMar>
              <w:top w:w="0" w:type="dxa"/>
              <w:bottom w:w="0" w:type="dxa"/>
            </w:tcMar>
            <w:vAlign w:val="center"/>
          </w:tcPr>
          <w:p w:rsidR="00846E89" w:rsidRDefault="00846E89">
            <w:pPr>
              <w:keepNext/>
              <w:keepLines/>
              <w:spacing w:after="0" w:line="240" w:lineRule="auto"/>
            </w:pPr>
          </w:p>
        </w:tc>
        <w:tc>
          <w:tcPr>
            <w:tcW w:w="3180" w:type="dxa"/>
            <w:tcMar>
              <w:top w:w="0" w:type="dxa"/>
              <w:bottom w:w="0" w:type="dxa"/>
            </w:tcMar>
            <w:vAlign w:val="center"/>
          </w:tcPr>
          <w:p w:rsidR="00846E89" w:rsidRDefault="006A392F">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846E89" w:rsidRDefault="006A392F">
            <w:pPr>
              <w:keepNext/>
              <w:keepLines/>
              <w:spacing w:after="0" w:line="240" w:lineRule="auto"/>
            </w:pPr>
            <w:r>
              <w:rPr>
                <w:b/>
                <w:sz w:val="18"/>
              </w:rPr>
              <w:t>X003, Y003</w:t>
            </w:r>
          </w:p>
        </w:tc>
        <w:tc>
          <w:tcPr>
            <w:tcW w:w="1860" w:type="dxa"/>
            <w:tcMar>
              <w:top w:w="0" w:type="dxa"/>
              <w:bottom w:w="0" w:type="dxa"/>
            </w:tcMar>
            <w:vAlign w:val="center"/>
          </w:tcPr>
          <w:p w:rsidR="00846E89" w:rsidRDefault="006A392F">
            <w:pPr>
              <w:keepNext/>
              <w:keepLines/>
              <w:spacing w:after="0" w:line="240" w:lineRule="auto"/>
              <w:jc w:val="right"/>
            </w:pPr>
            <w:r>
              <w:rPr>
                <w:b/>
                <w:sz w:val="18"/>
              </w:rPr>
              <w:t>0,00</w:t>
            </w:r>
          </w:p>
        </w:tc>
        <w:tc>
          <w:tcPr>
            <w:tcW w:w="1860" w:type="dxa"/>
            <w:tcMar>
              <w:top w:w="0" w:type="dxa"/>
              <w:bottom w:w="0" w:type="dxa"/>
            </w:tcMar>
            <w:vAlign w:val="center"/>
          </w:tcPr>
          <w:p w:rsidR="00846E89" w:rsidRDefault="006A392F">
            <w:pPr>
              <w:keepNext/>
              <w:keepLines/>
              <w:spacing w:after="0" w:line="240" w:lineRule="auto"/>
              <w:jc w:val="right"/>
            </w:pPr>
            <w:r>
              <w:rPr>
                <w:b/>
                <w:sz w:val="18"/>
              </w:rPr>
              <w:t>0,00</w:t>
            </w:r>
          </w:p>
        </w:tc>
        <w:tc>
          <w:tcPr>
            <w:tcW w:w="700" w:type="dxa"/>
            <w:tcMar>
              <w:top w:w="0" w:type="dxa"/>
              <w:bottom w:w="0" w:type="dxa"/>
            </w:tcMar>
            <w:vAlign w:val="center"/>
          </w:tcPr>
          <w:p w:rsidR="00846E89" w:rsidRDefault="006A392F">
            <w:pPr>
              <w:keepNext/>
              <w:keepLines/>
              <w:spacing w:after="0" w:line="240" w:lineRule="auto"/>
              <w:jc w:val="right"/>
            </w:pPr>
            <w:r>
              <w:rPr>
                <w:b/>
                <w:sz w:val="18"/>
              </w:rPr>
              <w:t>-</w:t>
            </w:r>
          </w:p>
        </w:tc>
      </w:tr>
      <w:tr w:rsidR="00846E89">
        <w:trPr>
          <w:cantSplit/>
          <w:trHeight w:val="560"/>
        </w:trPr>
        <w:tc>
          <w:tcPr>
            <w:tcW w:w="700" w:type="dxa"/>
            <w:tcMar>
              <w:top w:w="0" w:type="dxa"/>
              <w:bottom w:w="0" w:type="dxa"/>
            </w:tcMar>
            <w:vAlign w:val="center"/>
          </w:tcPr>
          <w:p w:rsidR="00846E89" w:rsidRDefault="00846E89">
            <w:pPr>
              <w:keepNext/>
              <w:keepLines/>
              <w:spacing w:after="0" w:line="240" w:lineRule="auto"/>
            </w:pPr>
          </w:p>
        </w:tc>
        <w:tc>
          <w:tcPr>
            <w:tcW w:w="3180" w:type="dxa"/>
            <w:tcMar>
              <w:top w:w="0" w:type="dxa"/>
              <w:bottom w:w="0" w:type="dxa"/>
            </w:tcMar>
            <w:vAlign w:val="center"/>
          </w:tcPr>
          <w:p w:rsidR="00846E89" w:rsidRDefault="006A392F">
            <w:pPr>
              <w:keepNext/>
              <w:keepLines/>
              <w:spacing w:after="0" w:line="240" w:lineRule="auto"/>
            </w:pPr>
            <w:r>
              <w:rPr>
                <w:b/>
                <w:sz w:val="18"/>
              </w:rPr>
              <w:t>MANJAK PRIHODA I PRIMITAKA (šifre Y345-X678)</w:t>
            </w:r>
          </w:p>
        </w:tc>
        <w:tc>
          <w:tcPr>
            <w:tcW w:w="700" w:type="dxa"/>
            <w:tcMar>
              <w:top w:w="0" w:type="dxa"/>
              <w:bottom w:w="0" w:type="dxa"/>
            </w:tcMar>
            <w:vAlign w:val="center"/>
          </w:tcPr>
          <w:p w:rsidR="00846E89" w:rsidRDefault="006A392F">
            <w:pPr>
              <w:keepNext/>
              <w:keepLines/>
              <w:spacing w:after="0" w:line="240" w:lineRule="auto"/>
            </w:pPr>
            <w:r>
              <w:rPr>
                <w:b/>
                <w:sz w:val="18"/>
              </w:rPr>
              <w:t>Y005</w:t>
            </w:r>
          </w:p>
        </w:tc>
        <w:tc>
          <w:tcPr>
            <w:tcW w:w="1860" w:type="dxa"/>
            <w:tcMar>
              <w:top w:w="0" w:type="dxa"/>
              <w:bottom w:w="0" w:type="dxa"/>
            </w:tcMar>
            <w:vAlign w:val="center"/>
          </w:tcPr>
          <w:p w:rsidR="00846E89" w:rsidRDefault="006A392F">
            <w:pPr>
              <w:keepNext/>
              <w:keepLines/>
              <w:spacing w:after="0" w:line="240" w:lineRule="auto"/>
              <w:jc w:val="right"/>
            </w:pPr>
            <w:r>
              <w:rPr>
                <w:b/>
                <w:sz w:val="18"/>
              </w:rPr>
              <w:t>40.609,26</w:t>
            </w:r>
          </w:p>
        </w:tc>
        <w:tc>
          <w:tcPr>
            <w:tcW w:w="1860" w:type="dxa"/>
            <w:tcMar>
              <w:top w:w="0" w:type="dxa"/>
              <w:bottom w:w="0" w:type="dxa"/>
            </w:tcMar>
            <w:vAlign w:val="center"/>
          </w:tcPr>
          <w:p w:rsidR="00846E89" w:rsidRDefault="006A392F">
            <w:pPr>
              <w:keepNext/>
              <w:keepLines/>
              <w:spacing w:after="0" w:line="240" w:lineRule="auto"/>
              <w:jc w:val="right"/>
            </w:pPr>
            <w:r>
              <w:rPr>
                <w:b/>
                <w:sz w:val="18"/>
              </w:rPr>
              <w:t>349.021,20</w:t>
            </w:r>
          </w:p>
        </w:tc>
        <w:tc>
          <w:tcPr>
            <w:tcW w:w="700" w:type="dxa"/>
            <w:tcMar>
              <w:top w:w="0" w:type="dxa"/>
              <w:bottom w:w="0" w:type="dxa"/>
            </w:tcMar>
            <w:vAlign w:val="center"/>
          </w:tcPr>
          <w:p w:rsidR="00846E89" w:rsidRDefault="006A392F">
            <w:pPr>
              <w:keepNext/>
              <w:keepLines/>
              <w:spacing w:after="0" w:line="240" w:lineRule="auto"/>
              <w:jc w:val="right"/>
            </w:pPr>
            <w:r>
              <w:rPr>
                <w:b/>
                <w:sz w:val="18"/>
              </w:rPr>
              <w:t>859,5</w:t>
            </w:r>
          </w:p>
        </w:tc>
      </w:tr>
    </w:tbl>
    <w:p w:rsidR="00846E89" w:rsidRDefault="00846E89">
      <w:pPr>
        <w:spacing w:after="0"/>
      </w:pPr>
    </w:p>
    <w:p w:rsidR="00BA2171" w:rsidRDefault="006A392F">
      <w:pPr>
        <w:spacing w:line="240" w:lineRule="auto"/>
        <w:jc w:val="both"/>
      </w:pPr>
      <w:r w:rsidRPr="00BA2171">
        <w:rPr>
          <w:i/>
        </w:rPr>
        <w:t>Prihodi poslovanja (šifra 6)</w:t>
      </w:r>
      <w:r>
        <w:t xml:space="preserve"> </w:t>
      </w:r>
    </w:p>
    <w:p w:rsidR="00BA2171" w:rsidRDefault="00BA2171">
      <w:pPr>
        <w:spacing w:line="240" w:lineRule="auto"/>
        <w:jc w:val="both"/>
      </w:pPr>
      <w:r>
        <w:t xml:space="preserve"> </w:t>
      </w:r>
      <w:r w:rsidR="006A392F">
        <w:t xml:space="preserve">U izvještajnom razdoblju ukupni prihodi poslovanja iznose 2.234.425,46 eura. U strukturi prihoda najvećim dijelom participiraju prihodi iskazani na šifri 636, a odnose se na prihode od Ministarstva znanosti i obrazovanja (isplata plaća i materijalnih prava za zaposlene) u iznosu od 1.885.055,01 euro. Prihodi iz nadležnog proračuna za financiranje redovne djelatnosti proračunskih korisnika (671) iznose 199.299,38 eura. Ostali prihodi odnose se na prihode od </w:t>
      </w:r>
      <w:r w:rsidR="006A392F">
        <w:lastRenderedPageBreak/>
        <w:t xml:space="preserve">sufinanciranja cijene participacije (školarine), kotizacija za natjecanje, ostalih usluga, donacija i pomoći temeljem prijenosa EU sredstava (ERASMUS+ projekt). </w:t>
      </w:r>
    </w:p>
    <w:p w:rsidR="00BA2171" w:rsidRDefault="006A392F">
      <w:pPr>
        <w:spacing w:line="240" w:lineRule="auto"/>
        <w:jc w:val="both"/>
      </w:pPr>
      <w:r w:rsidRPr="00BA2171">
        <w:rPr>
          <w:i/>
        </w:rPr>
        <w:t>Rashodi poslovanja (šifra 3)</w:t>
      </w:r>
    </w:p>
    <w:p w:rsidR="00BA2171" w:rsidRDefault="006A392F">
      <w:pPr>
        <w:spacing w:line="240" w:lineRule="auto"/>
        <w:jc w:val="both"/>
      </w:pPr>
      <w:r>
        <w:t xml:space="preserve"> Ukupni rashodi poslovanja iznose 2.567.688,80 eura. Rashodi se najvećim dijelom odnose na rashode za zaposlene (plaće i materijalna prava 2.128.674,86 eura). Ostali rashodi  odnese se na naknade troškova zaposlenima, materijalne rashode (rashodi za materijal i energiju, te usluge), financijske rashode, naknade građanima i kućanstvima (sufinanciranje troškova prehrane učenika) i opskrbu besplatnim higijenskim potrepštinama učenika. Rashodi za nabavu nefinancijske imovine (šifra 4) iznose 15.757,86 eura, odnose se na nabavku osnovnih sredstava nužnih za redovno izvođenje nastave.</w:t>
      </w:r>
    </w:p>
    <w:p w:rsidR="00BA2171" w:rsidRDefault="006A392F">
      <w:pPr>
        <w:spacing w:line="240" w:lineRule="auto"/>
        <w:jc w:val="both"/>
      </w:pPr>
      <w:r>
        <w:t xml:space="preserve"> </w:t>
      </w:r>
      <w:r w:rsidRPr="00BA2171">
        <w:rPr>
          <w:i/>
        </w:rPr>
        <w:t>Manjak prihoda i primitaka (šifra Y005)</w:t>
      </w:r>
      <w:r>
        <w:t xml:space="preserve"> </w:t>
      </w:r>
    </w:p>
    <w:p w:rsidR="00846E89" w:rsidRDefault="00BA2171">
      <w:pPr>
        <w:spacing w:line="240" w:lineRule="auto"/>
        <w:jc w:val="both"/>
      </w:pPr>
      <w:r>
        <w:t xml:space="preserve"> </w:t>
      </w:r>
      <w:r w:rsidR="006A392F">
        <w:t xml:space="preserve">U izvještajnom razdoblju ostvaren je manjak prihoda u iznosu od 349.021,20 eura. Zajedno sa prenesenim viškom poslovanja iz 2024. godine u iznosu od 110.792,08 eura, </w:t>
      </w:r>
      <w:r w:rsidR="006A392F" w:rsidRPr="00BA2171">
        <w:rPr>
          <w:i/>
        </w:rPr>
        <w:t>ukupni ostvareni manjak prihoda iznosi 238.229,12 eura</w:t>
      </w:r>
      <w:r w:rsidR="006A392F">
        <w:t>. Manjak prihoda poslovanja u izvještajnom razdoblju nastao je prvenstveno zbog rashoda za plaću za zaposlene (lipanj 2025.). Rashod za plaću evidentiran je 30.06.2025., a prihodi za istu evidentirat će se u srpnju 2025. godine. Zbog ukidanja razgraničavanja kontinuiranih rashoda (podskupina 193) u periodu siječanj - lipanj evidentirani su rashodi za sedam plaća za zaposlene.</w:t>
      </w:r>
    </w:p>
    <w:p w:rsidR="00846E89" w:rsidRDefault="006A392F">
      <w:r>
        <w:br/>
      </w:r>
    </w:p>
    <w:p w:rsidR="00846E89" w:rsidRDefault="006A392F">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6361</w:t>
            </w:r>
          </w:p>
        </w:tc>
        <w:tc>
          <w:tcPr>
            <w:tcW w:w="3180" w:type="dxa"/>
            <w:tcMar>
              <w:top w:w="0" w:type="dxa"/>
              <w:bottom w:w="0" w:type="dxa"/>
            </w:tcMar>
            <w:vAlign w:val="center"/>
          </w:tcPr>
          <w:p w:rsidR="00846E89" w:rsidRDefault="006A392F">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846E89" w:rsidRDefault="006A392F">
            <w:pPr>
              <w:keepNext/>
              <w:keepLines/>
              <w:spacing w:after="0" w:line="240" w:lineRule="auto"/>
            </w:pPr>
            <w:r>
              <w:rPr>
                <w:sz w:val="18"/>
              </w:rPr>
              <w:t>6361</w:t>
            </w:r>
          </w:p>
        </w:tc>
        <w:tc>
          <w:tcPr>
            <w:tcW w:w="1860" w:type="dxa"/>
            <w:tcMar>
              <w:top w:w="0" w:type="dxa"/>
              <w:bottom w:w="0" w:type="dxa"/>
            </w:tcMar>
            <w:vAlign w:val="center"/>
          </w:tcPr>
          <w:p w:rsidR="00846E89" w:rsidRDefault="006A392F">
            <w:pPr>
              <w:keepNext/>
              <w:keepLines/>
              <w:spacing w:after="0" w:line="240" w:lineRule="auto"/>
              <w:jc w:val="right"/>
            </w:pPr>
            <w:r>
              <w:rPr>
                <w:sz w:val="18"/>
              </w:rPr>
              <w:t>1.575.650,81</w:t>
            </w:r>
          </w:p>
        </w:tc>
        <w:tc>
          <w:tcPr>
            <w:tcW w:w="1860" w:type="dxa"/>
            <w:tcMar>
              <w:top w:w="0" w:type="dxa"/>
              <w:bottom w:w="0" w:type="dxa"/>
            </w:tcMar>
            <w:vAlign w:val="center"/>
          </w:tcPr>
          <w:p w:rsidR="00846E89" w:rsidRDefault="006A392F">
            <w:pPr>
              <w:keepNext/>
              <w:keepLines/>
              <w:spacing w:after="0" w:line="240" w:lineRule="auto"/>
              <w:jc w:val="right"/>
            </w:pPr>
            <w:r>
              <w:rPr>
                <w:sz w:val="18"/>
              </w:rPr>
              <w:t>1.847.739,01</w:t>
            </w:r>
          </w:p>
        </w:tc>
        <w:tc>
          <w:tcPr>
            <w:tcW w:w="700" w:type="dxa"/>
            <w:tcMar>
              <w:top w:w="0" w:type="dxa"/>
              <w:bottom w:w="0" w:type="dxa"/>
            </w:tcMar>
            <w:vAlign w:val="center"/>
          </w:tcPr>
          <w:p w:rsidR="00846E89" w:rsidRDefault="006A392F">
            <w:pPr>
              <w:keepNext/>
              <w:keepLines/>
              <w:spacing w:after="0" w:line="240" w:lineRule="auto"/>
              <w:jc w:val="right"/>
            </w:pPr>
            <w:r>
              <w:rPr>
                <w:sz w:val="18"/>
              </w:rPr>
              <w:t>117,3</w:t>
            </w:r>
          </w:p>
        </w:tc>
      </w:tr>
    </w:tbl>
    <w:p w:rsidR="00846E89" w:rsidRDefault="00846E89">
      <w:pPr>
        <w:spacing w:after="0"/>
      </w:pPr>
    </w:p>
    <w:p w:rsidR="00846E89" w:rsidRDefault="006A392F">
      <w:pPr>
        <w:spacing w:line="240" w:lineRule="auto"/>
        <w:jc w:val="both"/>
      </w:pPr>
      <w:r>
        <w:t>Prihodi za isplatu plaće i materijalnih prava zaposlenih uvećani u odnosu na prošlu godinu zbog porasta osnovice plaće i uvećanja koeficijenata zaposlenih.</w:t>
      </w:r>
    </w:p>
    <w:p w:rsidR="00846E89" w:rsidRDefault="00846E89"/>
    <w:p w:rsidR="00846E89" w:rsidRDefault="006A392F">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6381</w:t>
            </w:r>
          </w:p>
        </w:tc>
        <w:tc>
          <w:tcPr>
            <w:tcW w:w="3180" w:type="dxa"/>
            <w:tcMar>
              <w:top w:w="0" w:type="dxa"/>
              <w:bottom w:w="0" w:type="dxa"/>
            </w:tcMar>
            <w:vAlign w:val="center"/>
          </w:tcPr>
          <w:p w:rsidR="00846E89" w:rsidRDefault="006A392F">
            <w:pPr>
              <w:keepNext/>
              <w:keepLines/>
              <w:spacing w:after="0" w:line="240" w:lineRule="auto"/>
            </w:pPr>
            <w:r>
              <w:rPr>
                <w:sz w:val="18"/>
              </w:rPr>
              <w:t>Tekuće pomoći temeljem prijenosa EU sredstava</w:t>
            </w:r>
          </w:p>
        </w:tc>
        <w:tc>
          <w:tcPr>
            <w:tcW w:w="700" w:type="dxa"/>
            <w:tcMar>
              <w:top w:w="0" w:type="dxa"/>
              <w:bottom w:w="0" w:type="dxa"/>
            </w:tcMar>
            <w:vAlign w:val="center"/>
          </w:tcPr>
          <w:p w:rsidR="00846E89" w:rsidRDefault="006A392F">
            <w:pPr>
              <w:keepNext/>
              <w:keepLines/>
              <w:spacing w:after="0" w:line="240" w:lineRule="auto"/>
            </w:pPr>
            <w:r>
              <w:rPr>
                <w:sz w:val="18"/>
              </w:rPr>
              <w:t>6381</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1860" w:type="dxa"/>
            <w:tcMar>
              <w:top w:w="0" w:type="dxa"/>
              <w:bottom w:w="0" w:type="dxa"/>
            </w:tcMar>
            <w:vAlign w:val="center"/>
          </w:tcPr>
          <w:p w:rsidR="00846E89" w:rsidRDefault="006A392F">
            <w:pPr>
              <w:keepNext/>
              <w:keepLines/>
              <w:spacing w:after="0" w:line="240" w:lineRule="auto"/>
              <w:jc w:val="right"/>
            </w:pPr>
            <w:r>
              <w:rPr>
                <w:sz w:val="18"/>
              </w:rPr>
              <w:t>37.316,00</w:t>
            </w:r>
          </w:p>
        </w:tc>
        <w:tc>
          <w:tcPr>
            <w:tcW w:w="700" w:type="dxa"/>
            <w:tcMar>
              <w:top w:w="0" w:type="dxa"/>
              <w:bottom w:w="0" w:type="dxa"/>
            </w:tcMar>
            <w:vAlign w:val="center"/>
          </w:tcPr>
          <w:p w:rsidR="00846E89" w:rsidRDefault="006A392F">
            <w:pPr>
              <w:keepNext/>
              <w:keepLines/>
              <w:spacing w:after="0" w:line="240" w:lineRule="auto"/>
              <w:jc w:val="right"/>
            </w:pPr>
            <w:r>
              <w:rPr>
                <w:sz w:val="18"/>
              </w:rPr>
              <w:t>-</w:t>
            </w:r>
          </w:p>
        </w:tc>
      </w:tr>
    </w:tbl>
    <w:p w:rsidR="00846E89" w:rsidRDefault="00846E89">
      <w:pPr>
        <w:spacing w:after="0"/>
      </w:pPr>
    </w:p>
    <w:p w:rsidR="00846E89" w:rsidRDefault="006A392F">
      <w:pPr>
        <w:spacing w:line="240" w:lineRule="auto"/>
        <w:jc w:val="both"/>
      </w:pPr>
      <w:r>
        <w:t>Prihod  namijenjen za provedbu ERASMUS+ projekata u šk. godini 2024./2025.</w:t>
      </w:r>
    </w:p>
    <w:p w:rsidR="00846E89" w:rsidRDefault="00846E89"/>
    <w:p w:rsidR="00846E89" w:rsidRDefault="006A392F">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641</w:t>
            </w:r>
          </w:p>
        </w:tc>
        <w:tc>
          <w:tcPr>
            <w:tcW w:w="3180" w:type="dxa"/>
            <w:tcMar>
              <w:top w:w="0" w:type="dxa"/>
              <w:bottom w:w="0" w:type="dxa"/>
            </w:tcMar>
            <w:vAlign w:val="center"/>
          </w:tcPr>
          <w:p w:rsidR="00846E89" w:rsidRDefault="006A392F">
            <w:pPr>
              <w:keepNext/>
              <w:keepLines/>
              <w:spacing w:after="0" w:line="240" w:lineRule="auto"/>
            </w:pPr>
            <w:r>
              <w:rPr>
                <w:sz w:val="18"/>
              </w:rPr>
              <w:t>Prihodi od financijske imovine (šifre 6412 do 6419)</w:t>
            </w:r>
          </w:p>
        </w:tc>
        <w:tc>
          <w:tcPr>
            <w:tcW w:w="700" w:type="dxa"/>
            <w:tcMar>
              <w:top w:w="0" w:type="dxa"/>
              <w:bottom w:w="0" w:type="dxa"/>
            </w:tcMar>
            <w:vAlign w:val="center"/>
          </w:tcPr>
          <w:p w:rsidR="00846E89" w:rsidRDefault="006A392F">
            <w:pPr>
              <w:keepNext/>
              <w:keepLines/>
              <w:spacing w:after="0" w:line="240" w:lineRule="auto"/>
            </w:pPr>
            <w:r>
              <w:rPr>
                <w:sz w:val="18"/>
              </w:rPr>
              <w:t>641</w:t>
            </w:r>
          </w:p>
        </w:tc>
        <w:tc>
          <w:tcPr>
            <w:tcW w:w="1860" w:type="dxa"/>
            <w:tcMar>
              <w:top w:w="0" w:type="dxa"/>
              <w:bottom w:w="0" w:type="dxa"/>
            </w:tcMar>
            <w:vAlign w:val="center"/>
          </w:tcPr>
          <w:p w:rsidR="00846E89" w:rsidRDefault="006A392F">
            <w:pPr>
              <w:keepNext/>
              <w:keepLines/>
              <w:spacing w:after="0" w:line="240" w:lineRule="auto"/>
              <w:jc w:val="right"/>
            </w:pPr>
            <w:r>
              <w:rPr>
                <w:sz w:val="18"/>
              </w:rPr>
              <w:t>225,68</w:t>
            </w:r>
          </w:p>
        </w:tc>
        <w:tc>
          <w:tcPr>
            <w:tcW w:w="1860" w:type="dxa"/>
            <w:tcMar>
              <w:top w:w="0" w:type="dxa"/>
              <w:bottom w:w="0" w:type="dxa"/>
            </w:tcMar>
            <w:vAlign w:val="center"/>
          </w:tcPr>
          <w:p w:rsidR="00846E89" w:rsidRDefault="006A392F">
            <w:pPr>
              <w:keepNext/>
              <w:keepLines/>
              <w:spacing w:after="0" w:line="240" w:lineRule="auto"/>
              <w:jc w:val="right"/>
            </w:pPr>
            <w:r>
              <w:rPr>
                <w:sz w:val="18"/>
              </w:rPr>
              <w:t>481,92</w:t>
            </w:r>
          </w:p>
        </w:tc>
        <w:tc>
          <w:tcPr>
            <w:tcW w:w="700" w:type="dxa"/>
            <w:tcMar>
              <w:top w:w="0" w:type="dxa"/>
              <w:bottom w:w="0" w:type="dxa"/>
            </w:tcMar>
            <w:vAlign w:val="center"/>
          </w:tcPr>
          <w:p w:rsidR="00846E89" w:rsidRDefault="006A392F">
            <w:pPr>
              <w:keepNext/>
              <w:keepLines/>
              <w:spacing w:after="0" w:line="240" w:lineRule="auto"/>
              <w:jc w:val="right"/>
            </w:pPr>
            <w:r>
              <w:rPr>
                <w:sz w:val="18"/>
              </w:rPr>
              <w:t>213,5</w:t>
            </w:r>
          </w:p>
        </w:tc>
      </w:tr>
    </w:tbl>
    <w:p w:rsidR="00846E89" w:rsidRDefault="00846E89">
      <w:pPr>
        <w:spacing w:after="0"/>
      </w:pPr>
    </w:p>
    <w:p w:rsidR="00846E89" w:rsidRDefault="006A392F">
      <w:pPr>
        <w:spacing w:line="240" w:lineRule="auto"/>
        <w:jc w:val="both"/>
      </w:pPr>
      <w:proofErr w:type="spellStart"/>
      <w:r>
        <w:t>Pripis</w:t>
      </w:r>
      <w:proofErr w:type="spellEnd"/>
      <w:r>
        <w:t xml:space="preserve"> kamata na depozite po viđenju uvećan je zbog većeg priliva sredstava na žiro račun Glazbene škole u Varaždinu u odnosu na isti period u 2024. godini.</w:t>
      </w:r>
    </w:p>
    <w:p w:rsidR="00846E89" w:rsidRDefault="00846E89"/>
    <w:p w:rsidR="00846E89" w:rsidRDefault="006A392F">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652</w:t>
            </w:r>
          </w:p>
        </w:tc>
        <w:tc>
          <w:tcPr>
            <w:tcW w:w="3180" w:type="dxa"/>
            <w:tcMar>
              <w:top w:w="0" w:type="dxa"/>
              <w:bottom w:w="0" w:type="dxa"/>
            </w:tcMar>
            <w:vAlign w:val="center"/>
          </w:tcPr>
          <w:p w:rsidR="00846E89" w:rsidRDefault="006A392F">
            <w:pPr>
              <w:keepNext/>
              <w:keepLines/>
              <w:spacing w:after="0" w:line="240" w:lineRule="auto"/>
            </w:pPr>
            <w:r>
              <w:rPr>
                <w:sz w:val="18"/>
              </w:rPr>
              <w:t>Prihodi po posebnim propisima (šifre 6521 do 6528)</w:t>
            </w:r>
          </w:p>
        </w:tc>
        <w:tc>
          <w:tcPr>
            <w:tcW w:w="700" w:type="dxa"/>
            <w:tcMar>
              <w:top w:w="0" w:type="dxa"/>
              <w:bottom w:w="0" w:type="dxa"/>
            </w:tcMar>
            <w:vAlign w:val="center"/>
          </w:tcPr>
          <w:p w:rsidR="00846E89" w:rsidRDefault="006A392F">
            <w:pPr>
              <w:keepNext/>
              <w:keepLines/>
              <w:spacing w:after="0" w:line="240" w:lineRule="auto"/>
            </w:pPr>
            <w:r>
              <w:rPr>
                <w:sz w:val="18"/>
              </w:rPr>
              <w:t>652</w:t>
            </w:r>
          </w:p>
        </w:tc>
        <w:tc>
          <w:tcPr>
            <w:tcW w:w="1860" w:type="dxa"/>
            <w:tcMar>
              <w:top w:w="0" w:type="dxa"/>
              <w:bottom w:w="0" w:type="dxa"/>
            </w:tcMar>
            <w:vAlign w:val="center"/>
          </w:tcPr>
          <w:p w:rsidR="00846E89" w:rsidRDefault="006A392F">
            <w:pPr>
              <w:keepNext/>
              <w:keepLines/>
              <w:spacing w:after="0" w:line="240" w:lineRule="auto"/>
              <w:jc w:val="right"/>
            </w:pPr>
            <w:r>
              <w:rPr>
                <w:sz w:val="18"/>
              </w:rPr>
              <w:t>108.822,77</w:t>
            </w:r>
          </w:p>
        </w:tc>
        <w:tc>
          <w:tcPr>
            <w:tcW w:w="1860" w:type="dxa"/>
            <w:tcMar>
              <w:top w:w="0" w:type="dxa"/>
              <w:bottom w:w="0" w:type="dxa"/>
            </w:tcMar>
            <w:vAlign w:val="center"/>
          </w:tcPr>
          <w:p w:rsidR="00846E89" w:rsidRDefault="006A392F">
            <w:pPr>
              <w:keepNext/>
              <w:keepLines/>
              <w:spacing w:after="0" w:line="240" w:lineRule="auto"/>
              <w:jc w:val="right"/>
            </w:pPr>
            <w:r>
              <w:rPr>
                <w:sz w:val="18"/>
              </w:rPr>
              <w:t>131.757,03</w:t>
            </w:r>
          </w:p>
        </w:tc>
        <w:tc>
          <w:tcPr>
            <w:tcW w:w="700" w:type="dxa"/>
            <w:tcMar>
              <w:top w:w="0" w:type="dxa"/>
              <w:bottom w:w="0" w:type="dxa"/>
            </w:tcMar>
            <w:vAlign w:val="center"/>
          </w:tcPr>
          <w:p w:rsidR="00846E89" w:rsidRDefault="006A392F">
            <w:pPr>
              <w:keepNext/>
              <w:keepLines/>
              <w:spacing w:after="0" w:line="240" w:lineRule="auto"/>
              <w:jc w:val="right"/>
            </w:pPr>
            <w:r>
              <w:rPr>
                <w:sz w:val="18"/>
              </w:rPr>
              <w:t>121,1</w:t>
            </w:r>
          </w:p>
        </w:tc>
      </w:tr>
    </w:tbl>
    <w:p w:rsidR="00846E89" w:rsidRDefault="00846E89">
      <w:pPr>
        <w:spacing w:after="0"/>
      </w:pPr>
    </w:p>
    <w:p w:rsidR="00846E89" w:rsidRDefault="006A392F">
      <w:pPr>
        <w:spacing w:line="240" w:lineRule="auto"/>
        <w:jc w:val="both"/>
      </w:pPr>
      <w:r>
        <w:t>Prihodi od sufinanciranja za participacije učenika, te kotizacija za natjecanja. U prvom tromjesečju 2025. održano je međunarodno natjecanje puhača "</w:t>
      </w:r>
      <w:proofErr w:type="spellStart"/>
      <w:r>
        <w:t>Woodwind</w:t>
      </w:r>
      <w:proofErr w:type="spellEnd"/>
      <w:r>
        <w:t xml:space="preserve"> &amp; </w:t>
      </w:r>
      <w:proofErr w:type="spellStart"/>
      <w:r>
        <w:t>Brass</w:t>
      </w:r>
      <w:proofErr w:type="spellEnd"/>
      <w:r>
        <w:t>" na koje je bilo prijavljeno 600-tinjak natjecatelja.</w:t>
      </w:r>
    </w:p>
    <w:p w:rsidR="00846E89" w:rsidRDefault="00846E89"/>
    <w:p w:rsidR="00846E89" w:rsidRDefault="006A392F">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6615</w:t>
            </w:r>
          </w:p>
        </w:tc>
        <w:tc>
          <w:tcPr>
            <w:tcW w:w="3180" w:type="dxa"/>
            <w:tcMar>
              <w:top w:w="0" w:type="dxa"/>
              <w:bottom w:w="0" w:type="dxa"/>
            </w:tcMar>
            <w:vAlign w:val="center"/>
          </w:tcPr>
          <w:p w:rsidR="00846E89" w:rsidRDefault="006A392F">
            <w:pPr>
              <w:keepNext/>
              <w:keepLines/>
              <w:spacing w:after="0" w:line="240" w:lineRule="auto"/>
            </w:pPr>
            <w:r>
              <w:rPr>
                <w:sz w:val="18"/>
              </w:rPr>
              <w:t>Prihodi od pruženih usluga</w:t>
            </w:r>
          </w:p>
        </w:tc>
        <w:tc>
          <w:tcPr>
            <w:tcW w:w="700" w:type="dxa"/>
            <w:tcMar>
              <w:top w:w="0" w:type="dxa"/>
              <w:bottom w:w="0" w:type="dxa"/>
            </w:tcMar>
            <w:vAlign w:val="center"/>
          </w:tcPr>
          <w:p w:rsidR="00846E89" w:rsidRDefault="006A392F">
            <w:pPr>
              <w:keepNext/>
              <w:keepLines/>
              <w:spacing w:after="0" w:line="240" w:lineRule="auto"/>
            </w:pPr>
            <w:r>
              <w:rPr>
                <w:sz w:val="18"/>
              </w:rPr>
              <w:t>6615</w:t>
            </w:r>
          </w:p>
        </w:tc>
        <w:tc>
          <w:tcPr>
            <w:tcW w:w="1860" w:type="dxa"/>
            <w:tcMar>
              <w:top w:w="0" w:type="dxa"/>
              <w:bottom w:w="0" w:type="dxa"/>
            </w:tcMar>
            <w:vAlign w:val="center"/>
          </w:tcPr>
          <w:p w:rsidR="00846E89" w:rsidRDefault="006A392F">
            <w:pPr>
              <w:keepNext/>
              <w:keepLines/>
              <w:spacing w:after="0" w:line="240" w:lineRule="auto"/>
              <w:jc w:val="right"/>
            </w:pPr>
            <w:r>
              <w:rPr>
                <w:sz w:val="18"/>
              </w:rPr>
              <w:t>15.700,80</w:t>
            </w:r>
          </w:p>
        </w:tc>
        <w:tc>
          <w:tcPr>
            <w:tcW w:w="1860" w:type="dxa"/>
            <w:tcMar>
              <w:top w:w="0" w:type="dxa"/>
              <w:bottom w:w="0" w:type="dxa"/>
            </w:tcMar>
            <w:vAlign w:val="center"/>
          </w:tcPr>
          <w:p w:rsidR="00846E89" w:rsidRDefault="006A392F">
            <w:pPr>
              <w:keepNext/>
              <w:keepLines/>
              <w:spacing w:after="0" w:line="240" w:lineRule="auto"/>
              <w:jc w:val="right"/>
            </w:pPr>
            <w:r>
              <w:rPr>
                <w:sz w:val="18"/>
              </w:rPr>
              <w:t>6.532,12</w:t>
            </w:r>
          </w:p>
        </w:tc>
        <w:tc>
          <w:tcPr>
            <w:tcW w:w="700" w:type="dxa"/>
            <w:tcMar>
              <w:top w:w="0" w:type="dxa"/>
              <w:bottom w:w="0" w:type="dxa"/>
            </w:tcMar>
            <w:vAlign w:val="center"/>
          </w:tcPr>
          <w:p w:rsidR="00846E89" w:rsidRDefault="006A392F">
            <w:pPr>
              <w:keepNext/>
              <w:keepLines/>
              <w:spacing w:after="0" w:line="240" w:lineRule="auto"/>
              <w:jc w:val="right"/>
            </w:pPr>
            <w:r>
              <w:rPr>
                <w:sz w:val="18"/>
              </w:rPr>
              <w:t>41,6</w:t>
            </w:r>
          </w:p>
        </w:tc>
      </w:tr>
    </w:tbl>
    <w:p w:rsidR="00846E89" w:rsidRDefault="00846E89">
      <w:pPr>
        <w:spacing w:after="0"/>
      </w:pPr>
    </w:p>
    <w:p w:rsidR="00846E89" w:rsidRDefault="006A392F">
      <w:pPr>
        <w:spacing w:line="240" w:lineRule="auto"/>
        <w:jc w:val="both"/>
      </w:pPr>
      <w:r>
        <w:t>Prihodi od ispita prema osobnim potrebama, prihodi od sudjelovanja i suorganizacije projekata, te prihodi od najma instrumenata, umanjeni su u odnosu na  isti period 2024 godine. U prvom polugodištu nisu organizirani koncerti i manifestacije u kojima bi Škola bila suorganizator, te po toj osnovi ostvarila prihod.</w:t>
      </w:r>
    </w:p>
    <w:p w:rsidR="00846E89" w:rsidRDefault="00846E89"/>
    <w:p w:rsidR="00846E89" w:rsidRDefault="006A392F">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663</w:t>
            </w:r>
          </w:p>
        </w:tc>
        <w:tc>
          <w:tcPr>
            <w:tcW w:w="3180" w:type="dxa"/>
            <w:tcMar>
              <w:top w:w="0" w:type="dxa"/>
              <w:bottom w:w="0" w:type="dxa"/>
            </w:tcMar>
            <w:vAlign w:val="center"/>
          </w:tcPr>
          <w:p w:rsidR="00846E89" w:rsidRDefault="006A392F">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rsidR="00846E89" w:rsidRDefault="006A392F">
            <w:pPr>
              <w:keepNext/>
              <w:keepLines/>
              <w:spacing w:after="0" w:line="240" w:lineRule="auto"/>
            </w:pPr>
            <w:r>
              <w:rPr>
                <w:sz w:val="18"/>
              </w:rPr>
              <w:t>663</w:t>
            </w:r>
          </w:p>
        </w:tc>
        <w:tc>
          <w:tcPr>
            <w:tcW w:w="1860" w:type="dxa"/>
            <w:tcMar>
              <w:top w:w="0" w:type="dxa"/>
              <w:bottom w:w="0" w:type="dxa"/>
            </w:tcMar>
            <w:vAlign w:val="center"/>
          </w:tcPr>
          <w:p w:rsidR="00846E89" w:rsidRDefault="006A392F">
            <w:pPr>
              <w:keepNext/>
              <w:keepLines/>
              <w:spacing w:after="0" w:line="240" w:lineRule="auto"/>
              <w:jc w:val="right"/>
            </w:pPr>
            <w:r>
              <w:rPr>
                <w:sz w:val="18"/>
              </w:rPr>
              <w:t>4.670,00</w:t>
            </w:r>
          </w:p>
        </w:tc>
        <w:tc>
          <w:tcPr>
            <w:tcW w:w="1860" w:type="dxa"/>
            <w:tcMar>
              <w:top w:w="0" w:type="dxa"/>
              <w:bottom w:w="0" w:type="dxa"/>
            </w:tcMar>
            <w:vAlign w:val="center"/>
          </w:tcPr>
          <w:p w:rsidR="00846E89" w:rsidRDefault="006A392F">
            <w:pPr>
              <w:keepNext/>
              <w:keepLines/>
              <w:spacing w:after="0" w:line="240" w:lineRule="auto"/>
              <w:jc w:val="right"/>
            </w:pPr>
            <w:r>
              <w:rPr>
                <w:sz w:val="18"/>
              </w:rPr>
              <w:t>11.300,00</w:t>
            </w:r>
          </w:p>
        </w:tc>
        <w:tc>
          <w:tcPr>
            <w:tcW w:w="700" w:type="dxa"/>
            <w:tcMar>
              <w:top w:w="0" w:type="dxa"/>
              <w:bottom w:w="0" w:type="dxa"/>
            </w:tcMar>
            <w:vAlign w:val="center"/>
          </w:tcPr>
          <w:p w:rsidR="00846E89" w:rsidRDefault="006A392F">
            <w:pPr>
              <w:keepNext/>
              <w:keepLines/>
              <w:spacing w:after="0" w:line="240" w:lineRule="auto"/>
              <w:jc w:val="right"/>
            </w:pPr>
            <w:r>
              <w:rPr>
                <w:sz w:val="18"/>
              </w:rPr>
              <w:t>242,0</w:t>
            </w:r>
          </w:p>
        </w:tc>
      </w:tr>
    </w:tbl>
    <w:p w:rsidR="00846E89" w:rsidRDefault="00846E89">
      <w:pPr>
        <w:spacing w:after="0"/>
      </w:pPr>
    </w:p>
    <w:p w:rsidR="00846E89" w:rsidRDefault="006A392F">
      <w:pPr>
        <w:spacing w:line="240" w:lineRule="auto"/>
        <w:jc w:val="both"/>
      </w:pPr>
      <w:r>
        <w:t>Glazbena škola u Varaždinu je u izvještajnom razdoblju je zaprimila donacije od trgovačkih društava u iznosu od 11.300,00 eura, a u svrhu nabavke materijala i sredstava za projekte (natjecanja), te restauraciju i popravak instrumenta (čembala).</w:t>
      </w:r>
    </w:p>
    <w:p w:rsidR="00846E89" w:rsidRDefault="00846E89"/>
    <w:p w:rsidR="00846E89" w:rsidRDefault="006A392F">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671</w:t>
            </w:r>
          </w:p>
        </w:tc>
        <w:tc>
          <w:tcPr>
            <w:tcW w:w="3180" w:type="dxa"/>
            <w:tcMar>
              <w:top w:w="0" w:type="dxa"/>
              <w:bottom w:w="0" w:type="dxa"/>
            </w:tcMar>
            <w:vAlign w:val="center"/>
          </w:tcPr>
          <w:p w:rsidR="00846E89" w:rsidRDefault="006A392F">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rsidR="00846E89" w:rsidRDefault="006A392F">
            <w:pPr>
              <w:keepNext/>
              <w:keepLines/>
              <w:spacing w:after="0" w:line="240" w:lineRule="auto"/>
            </w:pPr>
            <w:r>
              <w:rPr>
                <w:sz w:val="18"/>
              </w:rPr>
              <w:t>671</w:t>
            </w:r>
          </w:p>
        </w:tc>
        <w:tc>
          <w:tcPr>
            <w:tcW w:w="1860" w:type="dxa"/>
            <w:tcMar>
              <w:top w:w="0" w:type="dxa"/>
              <w:bottom w:w="0" w:type="dxa"/>
            </w:tcMar>
            <w:vAlign w:val="center"/>
          </w:tcPr>
          <w:p w:rsidR="00846E89" w:rsidRDefault="006A392F">
            <w:pPr>
              <w:keepNext/>
              <w:keepLines/>
              <w:spacing w:after="0" w:line="240" w:lineRule="auto"/>
              <w:jc w:val="right"/>
            </w:pPr>
            <w:r>
              <w:rPr>
                <w:sz w:val="18"/>
              </w:rPr>
              <w:t>117.581,42</w:t>
            </w:r>
          </w:p>
        </w:tc>
        <w:tc>
          <w:tcPr>
            <w:tcW w:w="1860" w:type="dxa"/>
            <w:tcMar>
              <w:top w:w="0" w:type="dxa"/>
              <w:bottom w:w="0" w:type="dxa"/>
            </w:tcMar>
            <w:vAlign w:val="center"/>
          </w:tcPr>
          <w:p w:rsidR="00846E89" w:rsidRDefault="006A392F">
            <w:pPr>
              <w:keepNext/>
              <w:keepLines/>
              <w:spacing w:after="0" w:line="240" w:lineRule="auto"/>
              <w:jc w:val="right"/>
            </w:pPr>
            <w:r>
              <w:rPr>
                <w:sz w:val="18"/>
              </w:rPr>
              <w:t>199.299,38</w:t>
            </w:r>
          </w:p>
        </w:tc>
        <w:tc>
          <w:tcPr>
            <w:tcW w:w="700" w:type="dxa"/>
            <w:tcMar>
              <w:top w:w="0" w:type="dxa"/>
              <w:bottom w:w="0" w:type="dxa"/>
            </w:tcMar>
            <w:vAlign w:val="center"/>
          </w:tcPr>
          <w:p w:rsidR="00846E89" w:rsidRDefault="006A392F">
            <w:pPr>
              <w:keepNext/>
              <w:keepLines/>
              <w:spacing w:after="0" w:line="240" w:lineRule="auto"/>
              <w:jc w:val="right"/>
            </w:pPr>
            <w:r>
              <w:rPr>
                <w:sz w:val="18"/>
              </w:rPr>
              <w:t>169,5</w:t>
            </w:r>
          </w:p>
        </w:tc>
      </w:tr>
    </w:tbl>
    <w:p w:rsidR="00846E89" w:rsidRDefault="00846E89">
      <w:pPr>
        <w:spacing w:after="0"/>
      </w:pPr>
    </w:p>
    <w:p w:rsidR="00846E89" w:rsidRDefault="006A392F">
      <w:pPr>
        <w:spacing w:line="240" w:lineRule="auto"/>
        <w:jc w:val="both"/>
      </w:pPr>
      <w:r>
        <w:t>Prihodi od strane Osnivača (Varaždinska županija) za pokrivanje rashoda poslovanja i rashoda za nefinancijsku imovinu za decentralizirane funkcije prema zakonskom standardu i iznad zakonskog standarda u iznosu od 199.299,38 eura, zaprimljeni su na temelju zahtjeva za pokrivanje redovnih rashoda, te zaključaka.</w:t>
      </w:r>
    </w:p>
    <w:p w:rsidR="00846E89" w:rsidRDefault="00846E89"/>
    <w:p w:rsidR="00846E89" w:rsidRDefault="006A392F">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311</w:t>
            </w:r>
          </w:p>
        </w:tc>
        <w:tc>
          <w:tcPr>
            <w:tcW w:w="3180" w:type="dxa"/>
            <w:tcMar>
              <w:top w:w="0" w:type="dxa"/>
              <w:bottom w:w="0" w:type="dxa"/>
            </w:tcMar>
            <w:vAlign w:val="center"/>
          </w:tcPr>
          <w:p w:rsidR="00846E89" w:rsidRDefault="006A392F">
            <w:pPr>
              <w:keepNext/>
              <w:keepLines/>
              <w:spacing w:after="0" w:line="240" w:lineRule="auto"/>
            </w:pPr>
            <w:r>
              <w:rPr>
                <w:sz w:val="18"/>
              </w:rPr>
              <w:t>Plaće (bruto) (šifre 3111 do 3114)</w:t>
            </w:r>
          </w:p>
        </w:tc>
        <w:tc>
          <w:tcPr>
            <w:tcW w:w="700" w:type="dxa"/>
            <w:tcMar>
              <w:top w:w="0" w:type="dxa"/>
              <w:bottom w:w="0" w:type="dxa"/>
            </w:tcMar>
            <w:vAlign w:val="center"/>
          </w:tcPr>
          <w:p w:rsidR="00846E89" w:rsidRDefault="006A392F">
            <w:pPr>
              <w:keepNext/>
              <w:keepLines/>
              <w:spacing w:after="0" w:line="240" w:lineRule="auto"/>
            </w:pPr>
            <w:r>
              <w:rPr>
                <w:sz w:val="18"/>
              </w:rPr>
              <w:t>311</w:t>
            </w:r>
          </w:p>
        </w:tc>
        <w:tc>
          <w:tcPr>
            <w:tcW w:w="1860" w:type="dxa"/>
            <w:tcMar>
              <w:top w:w="0" w:type="dxa"/>
              <w:bottom w:w="0" w:type="dxa"/>
            </w:tcMar>
            <w:vAlign w:val="center"/>
          </w:tcPr>
          <w:p w:rsidR="00846E89" w:rsidRDefault="006A392F">
            <w:pPr>
              <w:keepNext/>
              <w:keepLines/>
              <w:spacing w:after="0" w:line="240" w:lineRule="auto"/>
              <w:jc w:val="right"/>
            </w:pPr>
            <w:r>
              <w:rPr>
                <w:sz w:val="18"/>
              </w:rPr>
              <w:t>1.327.950,13</w:t>
            </w:r>
          </w:p>
        </w:tc>
        <w:tc>
          <w:tcPr>
            <w:tcW w:w="1860" w:type="dxa"/>
            <w:tcMar>
              <w:top w:w="0" w:type="dxa"/>
              <w:bottom w:w="0" w:type="dxa"/>
            </w:tcMar>
            <w:vAlign w:val="center"/>
          </w:tcPr>
          <w:p w:rsidR="00846E89" w:rsidRDefault="006A392F">
            <w:pPr>
              <w:keepNext/>
              <w:keepLines/>
              <w:spacing w:after="0" w:line="240" w:lineRule="auto"/>
              <w:jc w:val="right"/>
            </w:pPr>
            <w:r>
              <w:rPr>
                <w:sz w:val="18"/>
              </w:rPr>
              <w:t>1.799.134,15</w:t>
            </w:r>
          </w:p>
        </w:tc>
        <w:tc>
          <w:tcPr>
            <w:tcW w:w="700" w:type="dxa"/>
            <w:tcMar>
              <w:top w:w="0" w:type="dxa"/>
              <w:bottom w:w="0" w:type="dxa"/>
            </w:tcMar>
            <w:vAlign w:val="center"/>
          </w:tcPr>
          <w:p w:rsidR="00846E89" w:rsidRDefault="006A392F">
            <w:pPr>
              <w:keepNext/>
              <w:keepLines/>
              <w:spacing w:after="0" w:line="240" w:lineRule="auto"/>
              <w:jc w:val="right"/>
            </w:pPr>
            <w:r>
              <w:rPr>
                <w:sz w:val="18"/>
              </w:rPr>
              <w:t>135,5</w:t>
            </w:r>
          </w:p>
        </w:tc>
      </w:tr>
    </w:tbl>
    <w:p w:rsidR="00846E89" w:rsidRDefault="00846E89">
      <w:pPr>
        <w:spacing w:after="0"/>
      </w:pPr>
    </w:p>
    <w:p w:rsidR="00846E89" w:rsidRDefault="006A392F">
      <w:pPr>
        <w:spacing w:line="240" w:lineRule="auto"/>
        <w:jc w:val="both"/>
      </w:pPr>
      <w:r>
        <w:t>Rashodi za zaposlene (plaće i materijalna prava) u porastu (indeks 135,5) zbog porasta osnovice plaće i uvećanja koeficijenata zaposlenih.</w:t>
      </w:r>
    </w:p>
    <w:p w:rsidR="00846E89" w:rsidRDefault="00846E89"/>
    <w:p w:rsidR="00846E89" w:rsidRDefault="006A392F">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3211</w:t>
            </w:r>
          </w:p>
        </w:tc>
        <w:tc>
          <w:tcPr>
            <w:tcW w:w="3180" w:type="dxa"/>
            <w:tcMar>
              <w:top w:w="0" w:type="dxa"/>
              <w:bottom w:w="0" w:type="dxa"/>
            </w:tcMar>
            <w:vAlign w:val="center"/>
          </w:tcPr>
          <w:p w:rsidR="00846E89" w:rsidRDefault="006A392F">
            <w:pPr>
              <w:keepNext/>
              <w:keepLines/>
              <w:spacing w:after="0" w:line="240" w:lineRule="auto"/>
            </w:pPr>
            <w:r>
              <w:rPr>
                <w:sz w:val="18"/>
              </w:rPr>
              <w:t>Službena putovanja</w:t>
            </w:r>
          </w:p>
        </w:tc>
        <w:tc>
          <w:tcPr>
            <w:tcW w:w="700" w:type="dxa"/>
            <w:tcMar>
              <w:top w:w="0" w:type="dxa"/>
              <w:bottom w:w="0" w:type="dxa"/>
            </w:tcMar>
            <w:vAlign w:val="center"/>
          </w:tcPr>
          <w:p w:rsidR="00846E89" w:rsidRDefault="006A392F">
            <w:pPr>
              <w:keepNext/>
              <w:keepLines/>
              <w:spacing w:after="0" w:line="240" w:lineRule="auto"/>
            </w:pPr>
            <w:r>
              <w:rPr>
                <w:sz w:val="18"/>
              </w:rPr>
              <w:t>3211</w:t>
            </w:r>
          </w:p>
        </w:tc>
        <w:tc>
          <w:tcPr>
            <w:tcW w:w="1860" w:type="dxa"/>
            <w:tcMar>
              <w:top w:w="0" w:type="dxa"/>
              <w:bottom w:w="0" w:type="dxa"/>
            </w:tcMar>
            <w:vAlign w:val="center"/>
          </w:tcPr>
          <w:p w:rsidR="00846E89" w:rsidRDefault="006A392F">
            <w:pPr>
              <w:keepNext/>
              <w:keepLines/>
              <w:spacing w:after="0" w:line="240" w:lineRule="auto"/>
              <w:jc w:val="right"/>
            </w:pPr>
            <w:r>
              <w:rPr>
                <w:sz w:val="18"/>
              </w:rPr>
              <w:t>25.590,41</w:t>
            </w:r>
          </w:p>
        </w:tc>
        <w:tc>
          <w:tcPr>
            <w:tcW w:w="1860" w:type="dxa"/>
            <w:tcMar>
              <w:top w:w="0" w:type="dxa"/>
              <w:bottom w:w="0" w:type="dxa"/>
            </w:tcMar>
            <w:vAlign w:val="center"/>
          </w:tcPr>
          <w:p w:rsidR="00846E89" w:rsidRDefault="006A392F">
            <w:pPr>
              <w:keepNext/>
              <w:keepLines/>
              <w:spacing w:after="0" w:line="240" w:lineRule="auto"/>
              <w:jc w:val="right"/>
            </w:pPr>
            <w:r>
              <w:rPr>
                <w:sz w:val="18"/>
              </w:rPr>
              <w:t>41.837,29</w:t>
            </w:r>
          </w:p>
        </w:tc>
        <w:tc>
          <w:tcPr>
            <w:tcW w:w="700" w:type="dxa"/>
            <w:tcMar>
              <w:top w:w="0" w:type="dxa"/>
              <w:bottom w:w="0" w:type="dxa"/>
            </w:tcMar>
            <w:vAlign w:val="center"/>
          </w:tcPr>
          <w:p w:rsidR="00846E89" w:rsidRDefault="006A392F">
            <w:pPr>
              <w:keepNext/>
              <w:keepLines/>
              <w:spacing w:after="0" w:line="240" w:lineRule="auto"/>
              <w:jc w:val="right"/>
            </w:pPr>
            <w:r>
              <w:rPr>
                <w:sz w:val="18"/>
              </w:rPr>
              <w:t>163,5</w:t>
            </w:r>
          </w:p>
        </w:tc>
      </w:tr>
    </w:tbl>
    <w:p w:rsidR="00846E89" w:rsidRDefault="00846E89">
      <w:pPr>
        <w:spacing w:after="0"/>
      </w:pPr>
    </w:p>
    <w:p w:rsidR="00846E89" w:rsidRDefault="006A392F">
      <w:pPr>
        <w:spacing w:line="240" w:lineRule="auto"/>
        <w:jc w:val="both"/>
      </w:pPr>
      <w:r>
        <w:t>Rashodi za službena putovanja uvećani su u odnosu na isto izvještajno razdoblje 2024. godine, zbog porasta cijena smještaja, kotizacija, putnih troškova i ostalih rashoda vezanih uz službeni put.</w:t>
      </w:r>
    </w:p>
    <w:p w:rsidR="00846E89" w:rsidRDefault="00846E89"/>
    <w:p w:rsidR="00846E89" w:rsidRDefault="006A392F">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3213</w:t>
            </w:r>
          </w:p>
        </w:tc>
        <w:tc>
          <w:tcPr>
            <w:tcW w:w="3180" w:type="dxa"/>
            <w:tcMar>
              <w:top w:w="0" w:type="dxa"/>
              <w:bottom w:w="0" w:type="dxa"/>
            </w:tcMar>
            <w:vAlign w:val="center"/>
          </w:tcPr>
          <w:p w:rsidR="00846E89" w:rsidRDefault="006A392F">
            <w:pPr>
              <w:keepNext/>
              <w:keepLines/>
              <w:spacing w:after="0" w:line="240" w:lineRule="auto"/>
            </w:pPr>
            <w:r>
              <w:rPr>
                <w:sz w:val="18"/>
              </w:rPr>
              <w:t>Stručno usavršavanje zaposlenika</w:t>
            </w:r>
          </w:p>
        </w:tc>
        <w:tc>
          <w:tcPr>
            <w:tcW w:w="700" w:type="dxa"/>
            <w:tcMar>
              <w:top w:w="0" w:type="dxa"/>
              <w:bottom w:w="0" w:type="dxa"/>
            </w:tcMar>
            <w:vAlign w:val="center"/>
          </w:tcPr>
          <w:p w:rsidR="00846E89" w:rsidRDefault="006A392F">
            <w:pPr>
              <w:keepNext/>
              <w:keepLines/>
              <w:spacing w:after="0" w:line="240" w:lineRule="auto"/>
            </w:pPr>
            <w:r>
              <w:rPr>
                <w:sz w:val="18"/>
              </w:rPr>
              <w:t>3213</w:t>
            </w:r>
          </w:p>
        </w:tc>
        <w:tc>
          <w:tcPr>
            <w:tcW w:w="1860" w:type="dxa"/>
            <w:tcMar>
              <w:top w:w="0" w:type="dxa"/>
              <w:bottom w:w="0" w:type="dxa"/>
            </w:tcMar>
            <w:vAlign w:val="center"/>
          </w:tcPr>
          <w:p w:rsidR="00846E89" w:rsidRDefault="006A392F">
            <w:pPr>
              <w:keepNext/>
              <w:keepLines/>
              <w:spacing w:after="0" w:line="240" w:lineRule="auto"/>
              <w:jc w:val="right"/>
            </w:pPr>
            <w:r>
              <w:rPr>
                <w:sz w:val="18"/>
              </w:rPr>
              <w:t>1.207,89</w:t>
            </w:r>
          </w:p>
        </w:tc>
        <w:tc>
          <w:tcPr>
            <w:tcW w:w="1860" w:type="dxa"/>
            <w:tcMar>
              <w:top w:w="0" w:type="dxa"/>
              <w:bottom w:w="0" w:type="dxa"/>
            </w:tcMar>
            <w:vAlign w:val="center"/>
          </w:tcPr>
          <w:p w:rsidR="00846E89" w:rsidRDefault="006A392F">
            <w:pPr>
              <w:keepNext/>
              <w:keepLines/>
              <w:spacing w:after="0" w:line="240" w:lineRule="auto"/>
              <w:jc w:val="right"/>
            </w:pPr>
            <w:r>
              <w:rPr>
                <w:sz w:val="18"/>
              </w:rPr>
              <w:t>1.877,90</w:t>
            </w:r>
          </w:p>
        </w:tc>
        <w:tc>
          <w:tcPr>
            <w:tcW w:w="700" w:type="dxa"/>
            <w:tcMar>
              <w:top w:w="0" w:type="dxa"/>
              <w:bottom w:w="0" w:type="dxa"/>
            </w:tcMar>
            <w:vAlign w:val="center"/>
          </w:tcPr>
          <w:p w:rsidR="00846E89" w:rsidRDefault="006A392F">
            <w:pPr>
              <w:keepNext/>
              <w:keepLines/>
              <w:spacing w:after="0" w:line="240" w:lineRule="auto"/>
              <w:jc w:val="right"/>
            </w:pPr>
            <w:r>
              <w:rPr>
                <w:sz w:val="18"/>
              </w:rPr>
              <w:t>155,5</w:t>
            </w:r>
          </w:p>
        </w:tc>
      </w:tr>
    </w:tbl>
    <w:p w:rsidR="00846E89" w:rsidRDefault="00846E89">
      <w:pPr>
        <w:spacing w:after="0"/>
      </w:pPr>
    </w:p>
    <w:p w:rsidR="00846E89" w:rsidRDefault="006A392F">
      <w:pPr>
        <w:spacing w:line="240" w:lineRule="auto"/>
        <w:jc w:val="both"/>
      </w:pPr>
      <w:r>
        <w:t>Rashodi povećani zbog potreba zaposlenih za usavršavanjima i sudjelovanjima na stručnim radionicama.</w:t>
      </w:r>
    </w:p>
    <w:p w:rsidR="00846E89" w:rsidRDefault="00846E89"/>
    <w:p w:rsidR="00846E89" w:rsidRDefault="006A392F">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322</w:t>
            </w:r>
          </w:p>
        </w:tc>
        <w:tc>
          <w:tcPr>
            <w:tcW w:w="3180" w:type="dxa"/>
            <w:tcMar>
              <w:top w:w="0" w:type="dxa"/>
              <w:bottom w:w="0" w:type="dxa"/>
            </w:tcMar>
            <w:vAlign w:val="center"/>
          </w:tcPr>
          <w:p w:rsidR="00846E89" w:rsidRDefault="006A392F">
            <w:pPr>
              <w:keepNext/>
              <w:keepLines/>
              <w:spacing w:after="0" w:line="240" w:lineRule="auto"/>
            </w:pPr>
            <w:r>
              <w:rPr>
                <w:sz w:val="18"/>
              </w:rPr>
              <w:t>Rashodi za materijal i energiju (šifre 3221 do 3227)</w:t>
            </w:r>
          </w:p>
        </w:tc>
        <w:tc>
          <w:tcPr>
            <w:tcW w:w="700" w:type="dxa"/>
            <w:tcMar>
              <w:top w:w="0" w:type="dxa"/>
              <w:bottom w:w="0" w:type="dxa"/>
            </w:tcMar>
            <w:vAlign w:val="center"/>
          </w:tcPr>
          <w:p w:rsidR="00846E89" w:rsidRDefault="006A392F">
            <w:pPr>
              <w:keepNext/>
              <w:keepLines/>
              <w:spacing w:after="0" w:line="240" w:lineRule="auto"/>
            </w:pPr>
            <w:r>
              <w:rPr>
                <w:sz w:val="18"/>
              </w:rPr>
              <w:t>322</w:t>
            </w:r>
          </w:p>
        </w:tc>
        <w:tc>
          <w:tcPr>
            <w:tcW w:w="1860" w:type="dxa"/>
            <w:tcMar>
              <w:top w:w="0" w:type="dxa"/>
              <w:bottom w:w="0" w:type="dxa"/>
            </w:tcMar>
            <w:vAlign w:val="center"/>
          </w:tcPr>
          <w:p w:rsidR="00846E89" w:rsidRDefault="006A392F">
            <w:pPr>
              <w:keepNext/>
              <w:keepLines/>
              <w:spacing w:after="0" w:line="240" w:lineRule="auto"/>
              <w:jc w:val="right"/>
            </w:pPr>
            <w:r>
              <w:rPr>
                <w:sz w:val="18"/>
              </w:rPr>
              <w:t>40.830,42</w:t>
            </w:r>
          </w:p>
        </w:tc>
        <w:tc>
          <w:tcPr>
            <w:tcW w:w="1860" w:type="dxa"/>
            <w:tcMar>
              <w:top w:w="0" w:type="dxa"/>
              <w:bottom w:w="0" w:type="dxa"/>
            </w:tcMar>
            <w:vAlign w:val="center"/>
          </w:tcPr>
          <w:p w:rsidR="00846E89" w:rsidRDefault="006A392F">
            <w:pPr>
              <w:keepNext/>
              <w:keepLines/>
              <w:spacing w:after="0" w:line="240" w:lineRule="auto"/>
              <w:jc w:val="right"/>
            </w:pPr>
            <w:r>
              <w:rPr>
                <w:sz w:val="18"/>
              </w:rPr>
              <w:t>54.741,15</w:t>
            </w:r>
          </w:p>
        </w:tc>
        <w:tc>
          <w:tcPr>
            <w:tcW w:w="700" w:type="dxa"/>
            <w:tcMar>
              <w:top w:w="0" w:type="dxa"/>
              <w:bottom w:w="0" w:type="dxa"/>
            </w:tcMar>
            <w:vAlign w:val="center"/>
          </w:tcPr>
          <w:p w:rsidR="00846E89" w:rsidRDefault="006A392F">
            <w:pPr>
              <w:keepNext/>
              <w:keepLines/>
              <w:spacing w:after="0" w:line="240" w:lineRule="auto"/>
              <w:jc w:val="right"/>
            </w:pPr>
            <w:r>
              <w:rPr>
                <w:sz w:val="18"/>
              </w:rPr>
              <w:t>134,1</w:t>
            </w:r>
          </w:p>
        </w:tc>
      </w:tr>
    </w:tbl>
    <w:p w:rsidR="00846E89" w:rsidRDefault="00846E89">
      <w:pPr>
        <w:spacing w:after="0"/>
      </w:pPr>
    </w:p>
    <w:p w:rsidR="00846E89" w:rsidRDefault="006A392F">
      <w:pPr>
        <w:spacing w:line="240" w:lineRule="auto"/>
        <w:jc w:val="both"/>
      </w:pPr>
      <w:r>
        <w:t>rashodi za materijal i energiju za redovno poslovanje Škole uvećani su u odnosu na isto izvještajno razdoblje 2024. godine zbog povećanja cijena.</w:t>
      </w:r>
    </w:p>
    <w:p w:rsidR="00846E89" w:rsidRDefault="00846E89"/>
    <w:p w:rsidR="00846E89" w:rsidRDefault="006A392F">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3224</w:t>
            </w:r>
          </w:p>
        </w:tc>
        <w:tc>
          <w:tcPr>
            <w:tcW w:w="3180" w:type="dxa"/>
            <w:tcMar>
              <w:top w:w="0" w:type="dxa"/>
              <w:bottom w:w="0" w:type="dxa"/>
            </w:tcMar>
            <w:vAlign w:val="center"/>
          </w:tcPr>
          <w:p w:rsidR="00846E89" w:rsidRDefault="006A392F">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846E89" w:rsidRDefault="006A392F">
            <w:pPr>
              <w:keepNext/>
              <w:keepLines/>
              <w:spacing w:after="0" w:line="240" w:lineRule="auto"/>
            </w:pPr>
            <w:r>
              <w:rPr>
                <w:sz w:val="18"/>
              </w:rPr>
              <w:t>3224</w:t>
            </w:r>
          </w:p>
        </w:tc>
        <w:tc>
          <w:tcPr>
            <w:tcW w:w="1860" w:type="dxa"/>
            <w:tcMar>
              <w:top w:w="0" w:type="dxa"/>
              <w:bottom w:w="0" w:type="dxa"/>
            </w:tcMar>
            <w:vAlign w:val="center"/>
          </w:tcPr>
          <w:p w:rsidR="00846E89" w:rsidRDefault="006A392F">
            <w:pPr>
              <w:keepNext/>
              <w:keepLines/>
              <w:spacing w:after="0" w:line="240" w:lineRule="auto"/>
              <w:jc w:val="right"/>
            </w:pPr>
            <w:r>
              <w:rPr>
                <w:sz w:val="18"/>
              </w:rPr>
              <w:t>376,59</w:t>
            </w:r>
          </w:p>
        </w:tc>
        <w:tc>
          <w:tcPr>
            <w:tcW w:w="1860" w:type="dxa"/>
            <w:tcMar>
              <w:top w:w="0" w:type="dxa"/>
              <w:bottom w:w="0" w:type="dxa"/>
            </w:tcMar>
            <w:vAlign w:val="center"/>
          </w:tcPr>
          <w:p w:rsidR="00846E89" w:rsidRDefault="006A392F">
            <w:pPr>
              <w:keepNext/>
              <w:keepLines/>
              <w:spacing w:after="0" w:line="240" w:lineRule="auto"/>
              <w:jc w:val="right"/>
            </w:pPr>
            <w:r>
              <w:rPr>
                <w:sz w:val="18"/>
              </w:rPr>
              <w:t>10.099,23</w:t>
            </w:r>
          </w:p>
        </w:tc>
        <w:tc>
          <w:tcPr>
            <w:tcW w:w="700" w:type="dxa"/>
            <w:tcMar>
              <w:top w:w="0" w:type="dxa"/>
              <w:bottom w:w="0" w:type="dxa"/>
            </w:tcMar>
            <w:vAlign w:val="center"/>
          </w:tcPr>
          <w:p w:rsidR="00846E89" w:rsidRDefault="006A392F">
            <w:pPr>
              <w:keepNext/>
              <w:keepLines/>
              <w:spacing w:after="0" w:line="240" w:lineRule="auto"/>
              <w:jc w:val="right"/>
            </w:pPr>
            <w:r>
              <w:rPr>
                <w:sz w:val="18"/>
              </w:rPr>
              <w:t>2681,8</w:t>
            </w:r>
          </w:p>
        </w:tc>
      </w:tr>
    </w:tbl>
    <w:p w:rsidR="00846E89" w:rsidRDefault="00846E89">
      <w:pPr>
        <w:spacing w:after="0"/>
      </w:pPr>
    </w:p>
    <w:p w:rsidR="00846E89" w:rsidRDefault="006A392F">
      <w:pPr>
        <w:spacing w:line="240" w:lineRule="auto"/>
        <w:jc w:val="both"/>
      </w:pPr>
      <w:r>
        <w:t>Povećanje rashoda u odnosu na isto izvještajno razdoblje 2024. godine odnosi se na nabavku materijala za prilagodbu postojećih ulaza u Školu u svrhu provedbe Protokola o kontroli ulaska i izlaska u školskim ustanovama.</w:t>
      </w:r>
    </w:p>
    <w:p w:rsidR="00846E89" w:rsidRDefault="00846E89"/>
    <w:p w:rsidR="00846E89" w:rsidRDefault="006A392F">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3225</w:t>
            </w:r>
          </w:p>
        </w:tc>
        <w:tc>
          <w:tcPr>
            <w:tcW w:w="3180" w:type="dxa"/>
            <w:tcMar>
              <w:top w:w="0" w:type="dxa"/>
              <w:bottom w:w="0" w:type="dxa"/>
            </w:tcMar>
            <w:vAlign w:val="center"/>
          </w:tcPr>
          <w:p w:rsidR="00846E89" w:rsidRDefault="006A392F">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rsidR="00846E89" w:rsidRDefault="006A392F">
            <w:pPr>
              <w:keepNext/>
              <w:keepLines/>
              <w:spacing w:after="0" w:line="240" w:lineRule="auto"/>
            </w:pPr>
            <w:r>
              <w:rPr>
                <w:sz w:val="18"/>
              </w:rPr>
              <w:t>3225</w:t>
            </w:r>
          </w:p>
        </w:tc>
        <w:tc>
          <w:tcPr>
            <w:tcW w:w="1860" w:type="dxa"/>
            <w:tcMar>
              <w:top w:w="0" w:type="dxa"/>
              <w:bottom w:w="0" w:type="dxa"/>
            </w:tcMar>
            <w:vAlign w:val="center"/>
          </w:tcPr>
          <w:p w:rsidR="00846E89" w:rsidRDefault="006A392F">
            <w:pPr>
              <w:keepNext/>
              <w:keepLines/>
              <w:spacing w:after="0" w:line="240" w:lineRule="auto"/>
              <w:jc w:val="right"/>
            </w:pPr>
            <w:r>
              <w:rPr>
                <w:sz w:val="18"/>
              </w:rPr>
              <w:t>250,54</w:t>
            </w:r>
          </w:p>
        </w:tc>
        <w:tc>
          <w:tcPr>
            <w:tcW w:w="1860" w:type="dxa"/>
            <w:tcMar>
              <w:top w:w="0" w:type="dxa"/>
              <w:bottom w:w="0" w:type="dxa"/>
            </w:tcMar>
            <w:vAlign w:val="center"/>
          </w:tcPr>
          <w:p w:rsidR="00846E89" w:rsidRDefault="006A392F">
            <w:pPr>
              <w:keepNext/>
              <w:keepLines/>
              <w:spacing w:after="0" w:line="240" w:lineRule="auto"/>
              <w:jc w:val="right"/>
            </w:pPr>
            <w:r>
              <w:rPr>
                <w:sz w:val="18"/>
              </w:rPr>
              <w:t>2.489,55</w:t>
            </w:r>
          </w:p>
        </w:tc>
        <w:tc>
          <w:tcPr>
            <w:tcW w:w="700" w:type="dxa"/>
            <w:tcMar>
              <w:top w:w="0" w:type="dxa"/>
              <w:bottom w:w="0" w:type="dxa"/>
            </w:tcMar>
            <w:vAlign w:val="center"/>
          </w:tcPr>
          <w:p w:rsidR="00846E89" w:rsidRDefault="006A392F">
            <w:pPr>
              <w:keepNext/>
              <w:keepLines/>
              <w:spacing w:after="0" w:line="240" w:lineRule="auto"/>
              <w:jc w:val="right"/>
            </w:pPr>
            <w:r>
              <w:rPr>
                <w:sz w:val="18"/>
              </w:rPr>
              <w:t>993,7</w:t>
            </w:r>
          </w:p>
        </w:tc>
      </w:tr>
    </w:tbl>
    <w:p w:rsidR="00846E89" w:rsidRDefault="00846E89">
      <w:pPr>
        <w:spacing w:after="0"/>
      </w:pPr>
    </w:p>
    <w:p w:rsidR="00846E89" w:rsidRDefault="006A392F">
      <w:pPr>
        <w:spacing w:line="240" w:lineRule="auto"/>
        <w:jc w:val="both"/>
      </w:pPr>
      <w:r>
        <w:t>Na ovoj šifri u ovoj godini evidentirani su rashodi za materijal (sitni inventar) koji je nabavljen u svrhu provedbe projekta Građanski odgoj šk. god. 2024./2025.</w:t>
      </w:r>
    </w:p>
    <w:p w:rsidR="00846E89" w:rsidRDefault="00846E89"/>
    <w:p w:rsidR="00846E89" w:rsidRDefault="006A392F">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3232</w:t>
            </w:r>
          </w:p>
        </w:tc>
        <w:tc>
          <w:tcPr>
            <w:tcW w:w="3180" w:type="dxa"/>
            <w:tcMar>
              <w:top w:w="0" w:type="dxa"/>
              <w:bottom w:w="0" w:type="dxa"/>
            </w:tcMar>
            <w:vAlign w:val="center"/>
          </w:tcPr>
          <w:p w:rsidR="00846E89" w:rsidRDefault="006A392F">
            <w:pPr>
              <w:keepNext/>
              <w:keepLines/>
              <w:spacing w:after="0" w:line="240" w:lineRule="auto"/>
            </w:pPr>
            <w:r>
              <w:rPr>
                <w:sz w:val="18"/>
              </w:rPr>
              <w:t>Usluge tekućeg i investicijskog održavanja</w:t>
            </w:r>
          </w:p>
        </w:tc>
        <w:tc>
          <w:tcPr>
            <w:tcW w:w="700" w:type="dxa"/>
            <w:tcMar>
              <w:top w:w="0" w:type="dxa"/>
              <w:bottom w:w="0" w:type="dxa"/>
            </w:tcMar>
            <w:vAlign w:val="center"/>
          </w:tcPr>
          <w:p w:rsidR="00846E89" w:rsidRDefault="006A392F">
            <w:pPr>
              <w:keepNext/>
              <w:keepLines/>
              <w:spacing w:after="0" w:line="240" w:lineRule="auto"/>
            </w:pPr>
            <w:r>
              <w:rPr>
                <w:sz w:val="18"/>
              </w:rPr>
              <w:t>3232</w:t>
            </w:r>
          </w:p>
        </w:tc>
        <w:tc>
          <w:tcPr>
            <w:tcW w:w="1860" w:type="dxa"/>
            <w:tcMar>
              <w:top w:w="0" w:type="dxa"/>
              <w:bottom w:w="0" w:type="dxa"/>
            </w:tcMar>
            <w:vAlign w:val="center"/>
          </w:tcPr>
          <w:p w:rsidR="00846E89" w:rsidRDefault="006A392F">
            <w:pPr>
              <w:keepNext/>
              <w:keepLines/>
              <w:spacing w:after="0" w:line="240" w:lineRule="auto"/>
              <w:jc w:val="right"/>
            </w:pPr>
            <w:r>
              <w:rPr>
                <w:sz w:val="18"/>
              </w:rPr>
              <w:t>6.489,17</w:t>
            </w:r>
          </w:p>
        </w:tc>
        <w:tc>
          <w:tcPr>
            <w:tcW w:w="1860" w:type="dxa"/>
            <w:tcMar>
              <w:top w:w="0" w:type="dxa"/>
              <w:bottom w:w="0" w:type="dxa"/>
            </w:tcMar>
            <w:vAlign w:val="center"/>
          </w:tcPr>
          <w:p w:rsidR="00846E89" w:rsidRDefault="006A392F">
            <w:pPr>
              <w:keepNext/>
              <w:keepLines/>
              <w:spacing w:after="0" w:line="240" w:lineRule="auto"/>
              <w:jc w:val="right"/>
            </w:pPr>
            <w:r>
              <w:rPr>
                <w:sz w:val="18"/>
              </w:rPr>
              <w:t>19.184,54</w:t>
            </w:r>
          </w:p>
        </w:tc>
        <w:tc>
          <w:tcPr>
            <w:tcW w:w="700" w:type="dxa"/>
            <w:tcMar>
              <w:top w:w="0" w:type="dxa"/>
              <w:bottom w:w="0" w:type="dxa"/>
            </w:tcMar>
            <w:vAlign w:val="center"/>
          </w:tcPr>
          <w:p w:rsidR="00846E89" w:rsidRDefault="006A392F">
            <w:pPr>
              <w:keepNext/>
              <w:keepLines/>
              <w:spacing w:after="0" w:line="240" w:lineRule="auto"/>
              <w:jc w:val="right"/>
            </w:pPr>
            <w:r>
              <w:rPr>
                <w:sz w:val="18"/>
              </w:rPr>
              <w:t>295,6</w:t>
            </w:r>
          </w:p>
        </w:tc>
      </w:tr>
    </w:tbl>
    <w:p w:rsidR="00846E89" w:rsidRDefault="00846E89">
      <w:pPr>
        <w:spacing w:after="0"/>
      </w:pPr>
    </w:p>
    <w:p w:rsidR="00846E89" w:rsidRDefault="006A392F">
      <w:pPr>
        <w:spacing w:line="240" w:lineRule="auto"/>
        <w:jc w:val="both"/>
      </w:pPr>
      <w:r>
        <w:t>Povećanje rashoda u odnosu na isto izvještajno razdoblje 2024. godine odnosi se na usluge dobavljača u svrhu provedbe Protokola o kontroli ulaska i izlaska u školskim ustanovama.</w:t>
      </w:r>
    </w:p>
    <w:p w:rsidR="00846E89" w:rsidRDefault="00846E89"/>
    <w:p w:rsidR="00846E89" w:rsidRDefault="006A392F">
      <w:pPr>
        <w:keepNext/>
        <w:spacing w:line="240" w:lineRule="auto"/>
        <w:jc w:val="center"/>
      </w:pPr>
      <w:r>
        <w:rPr>
          <w:sz w:val="28"/>
        </w:rPr>
        <w:lastRenderedPageBreak/>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3235</w:t>
            </w:r>
          </w:p>
        </w:tc>
        <w:tc>
          <w:tcPr>
            <w:tcW w:w="3180" w:type="dxa"/>
            <w:tcMar>
              <w:top w:w="0" w:type="dxa"/>
              <w:bottom w:w="0" w:type="dxa"/>
            </w:tcMar>
            <w:vAlign w:val="center"/>
          </w:tcPr>
          <w:p w:rsidR="00846E89" w:rsidRDefault="006A392F">
            <w:pPr>
              <w:keepNext/>
              <w:keepLines/>
              <w:spacing w:after="0" w:line="240" w:lineRule="auto"/>
            </w:pPr>
            <w:r>
              <w:rPr>
                <w:sz w:val="18"/>
              </w:rPr>
              <w:t>Zakupnine i najamnine</w:t>
            </w:r>
          </w:p>
        </w:tc>
        <w:tc>
          <w:tcPr>
            <w:tcW w:w="700" w:type="dxa"/>
            <w:tcMar>
              <w:top w:w="0" w:type="dxa"/>
              <w:bottom w:w="0" w:type="dxa"/>
            </w:tcMar>
            <w:vAlign w:val="center"/>
          </w:tcPr>
          <w:p w:rsidR="00846E89" w:rsidRDefault="006A392F">
            <w:pPr>
              <w:keepNext/>
              <w:keepLines/>
              <w:spacing w:after="0" w:line="240" w:lineRule="auto"/>
            </w:pPr>
            <w:r>
              <w:rPr>
                <w:sz w:val="18"/>
              </w:rPr>
              <w:t>3235</w:t>
            </w:r>
          </w:p>
        </w:tc>
        <w:tc>
          <w:tcPr>
            <w:tcW w:w="1860" w:type="dxa"/>
            <w:tcMar>
              <w:top w:w="0" w:type="dxa"/>
              <w:bottom w:w="0" w:type="dxa"/>
            </w:tcMar>
            <w:vAlign w:val="center"/>
          </w:tcPr>
          <w:p w:rsidR="00846E89" w:rsidRDefault="006A392F">
            <w:pPr>
              <w:keepNext/>
              <w:keepLines/>
              <w:spacing w:after="0" w:line="240" w:lineRule="auto"/>
              <w:jc w:val="right"/>
            </w:pPr>
            <w:r>
              <w:rPr>
                <w:sz w:val="18"/>
              </w:rPr>
              <w:t>6.000,00</w:t>
            </w:r>
          </w:p>
        </w:tc>
        <w:tc>
          <w:tcPr>
            <w:tcW w:w="1860" w:type="dxa"/>
            <w:tcMar>
              <w:top w:w="0" w:type="dxa"/>
              <w:bottom w:w="0" w:type="dxa"/>
            </w:tcMar>
            <w:vAlign w:val="center"/>
          </w:tcPr>
          <w:p w:rsidR="00846E89" w:rsidRDefault="006A392F">
            <w:pPr>
              <w:keepNext/>
              <w:keepLines/>
              <w:spacing w:after="0" w:line="240" w:lineRule="auto"/>
              <w:jc w:val="right"/>
            </w:pPr>
            <w:r>
              <w:rPr>
                <w:sz w:val="18"/>
              </w:rPr>
              <w:t>11.607,50</w:t>
            </w:r>
          </w:p>
        </w:tc>
        <w:tc>
          <w:tcPr>
            <w:tcW w:w="700" w:type="dxa"/>
            <w:tcMar>
              <w:top w:w="0" w:type="dxa"/>
              <w:bottom w:w="0" w:type="dxa"/>
            </w:tcMar>
            <w:vAlign w:val="center"/>
          </w:tcPr>
          <w:p w:rsidR="00846E89" w:rsidRDefault="006A392F">
            <w:pPr>
              <w:keepNext/>
              <w:keepLines/>
              <w:spacing w:after="0" w:line="240" w:lineRule="auto"/>
              <w:jc w:val="right"/>
            </w:pPr>
            <w:r>
              <w:rPr>
                <w:sz w:val="18"/>
              </w:rPr>
              <w:t>193,5</w:t>
            </w:r>
          </w:p>
        </w:tc>
      </w:tr>
    </w:tbl>
    <w:p w:rsidR="00846E89" w:rsidRDefault="00846E89">
      <w:pPr>
        <w:spacing w:after="0"/>
      </w:pPr>
    </w:p>
    <w:p w:rsidR="00846E89" w:rsidRDefault="006A392F">
      <w:pPr>
        <w:spacing w:line="240" w:lineRule="auto"/>
        <w:jc w:val="both"/>
      </w:pPr>
      <w:r>
        <w:t xml:space="preserve">Na ovoj šifri evidentirani su rashodi za zakupnine i najamnine, a u ovom razdoblju povećani su zbog rashoda za najam vozila za prijevoz učenika koji su sudjelovali u projektu </w:t>
      </w:r>
      <w:proofErr w:type="spellStart"/>
      <w:r>
        <w:t>Classic</w:t>
      </w:r>
      <w:proofErr w:type="spellEnd"/>
      <w:r>
        <w:t xml:space="preserve"> </w:t>
      </w:r>
      <w:proofErr w:type="spellStart"/>
      <w:r>
        <w:t>Camp</w:t>
      </w:r>
      <w:proofErr w:type="spellEnd"/>
      <w:r>
        <w:t xml:space="preserve"> u Njemačkoj u </w:t>
      </w:r>
      <w:proofErr w:type="spellStart"/>
      <w:r>
        <w:t>Ravensburgu</w:t>
      </w:r>
      <w:proofErr w:type="spellEnd"/>
      <w:r>
        <w:t xml:space="preserve">, te u francuskom gradu </w:t>
      </w:r>
      <w:proofErr w:type="spellStart"/>
      <w:r>
        <w:t>Montélimaru</w:t>
      </w:r>
      <w:proofErr w:type="spellEnd"/>
      <w:r>
        <w:t>.</w:t>
      </w:r>
    </w:p>
    <w:p w:rsidR="00846E89" w:rsidRDefault="00846E89"/>
    <w:p w:rsidR="00846E89" w:rsidRDefault="006A392F">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3237</w:t>
            </w:r>
          </w:p>
        </w:tc>
        <w:tc>
          <w:tcPr>
            <w:tcW w:w="3180" w:type="dxa"/>
            <w:tcMar>
              <w:top w:w="0" w:type="dxa"/>
              <w:bottom w:w="0" w:type="dxa"/>
            </w:tcMar>
            <w:vAlign w:val="center"/>
          </w:tcPr>
          <w:p w:rsidR="00846E89" w:rsidRDefault="006A392F">
            <w:pPr>
              <w:keepNext/>
              <w:keepLines/>
              <w:spacing w:after="0" w:line="240" w:lineRule="auto"/>
            </w:pPr>
            <w:r>
              <w:rPr>
                <w:sz w:val="18"/>
              </w:rPr>
              <w:t>Intelektualne i osobne usluge</w:t>
            </w:r>
          </w:p>
        </w:tc>
        <w:tc>
          <w:tcPr>
            <w:tcW w:w="700" w:type="dxa"/>
            <w:tcMar>
              <w:top w:w="0" w:type="dxa"/>
              <w:bottom w:w="0" w:type="dxa"/>
            </w:tcMar>
            <w:vAlign w:val="center"/>
          </w:tcPr>
          <w:p w:rsidR="00846E89" w:rsidRDefault="006A392F">
            <w:pPr>
              <w:keepNext/>
              <w:keepLines/>
              <w:spacing w:after="0" w:line="240" w:lineRule="auto"/>
            </w:pPr>
            <w:r>
              <w:rPr>
                <w:sz w:val="18"/>
              </w:rPr>
              <w:t>3237</w:t>
            </w:r>
          </w:p>
        </w:tc>
        <w:tc>
          <w:tcPr>
            <w:tcW w:w="1860" w:type="dxa"/>
            <w:tcMar>
              <w:top w:w="0" w:type="dxa"/>
              <w:bottom w:w="0" w:type="dxa"/>
            </w:tcMar>
            <w:vAlign w:val="center"/>
          </w:tcPr>
          <w:p w:rsidR="00846E89" w:rsidRDefault="006A392F">
            <w:pPr>
              <w:keepNext/>
              <w:keepLines/>
              <w:spacing w:after="0" w:line="240" w:lineRule="auto"/>
              <w:jc w:val="right"/>
            </w:pPr>
            <w:r>
              <w:rPr>
                <w:sz w:val="18"/>
              </w:rPr>
              <w:t>42.143,40</w:t>
            </w:r>
          </w:p>
        </w:tc>
        <w:tc>
          <w:tcPr>
            <w:tcW w:w="1860" w:type="dxa"/>
            <w:tcMar>
              <w:top w:w="0" w:type="dxa"/>
              <w:bottom w:w="0" w:type="dxa"/>
            </w:tcMar>
            <w:vAlign w:val="center"/>
          </w:tcPr>
          <w:p w:rsidR="00846E89" w:rsidRDefault="006A392F">
            <w:pPr>
              <w:keepNext/>
              <w:keepLines/>
              <w:spacing w:after="0" w:line="240" w:lineRule="auto"/>
              <w:jc w:val="right"/>
            </w:pPr>
            <w:r>
              <w:rPr>
                <w:sz w:val="18"/>
              </w:rPr>
              <w:t>63.134,30</w:t>
            </w:r>
          </w:p>
        </w:tc>
        <w:tc>
          <w:tcPr>
            <w:tcW w:w="700" w:type="dxa"/>
            <w:tcMar>
              <w:top w:w="0" w:type="dxa"/>
              <w:bottom w:w="0" w:type="dxa"/>
            </w:tcMar>
            <w:vAlign w:val="center"/>
          </w:tcPr>
          <w:p w:rsidR="00846E89" w:rsidRDefault="006A392F">
            <w:pPr>
              <w:keepNext/>
              <w:keepLines/>
              <w:spacing w:after="0" w:line="240" w:lineRule="auto"/>
              <w:jc w:val="right"/>
            </w:pPr>
            <w:r>
              <w:rPr>
                <w:sz w:val="18"/>
              </w:rPr>
              <w:t>149,8</w:t>
            </w:r>
          </w:p>
        </w:tc>
      </w:tr>
    </w:tbl>
    <w:p w:rsidR="00846E89" w:rsidRDefault="00846E89">
      <w:pPr>
        <w:spacing w:after="0"/>
      </w:pPr>
    </w:p>
    <w:p w:rsidR="00846E89" w:rsidRDefault="006A392F">
      <w:pPr>
        <w:spacing w:line="240" w:lineRule="auto"/>
        <w:jc w:val="both"/>
      </w:pPr>
      <w:r>
        <w:t>Povećanje rashoda odnosi se na ugovore o djelu i autorske honorare koji su isplaćeni vanjskim suradnicima za suradnju na projektima (natjecanjima) koji su se ove godine provodili kroz duži vremenski period, te su sukladno tome svi troškovi vezani uz njih uvećani.</w:t>
      </w:r>
    </w:p>
    <w:p w:rsidR="00846E89" w:rsidRDefault="00846E89"/>
    <w:p w:rsidR="00846E89" w:rsidRDefault="006A392F">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3238</w:t>
            </w:r>
          </w:p>
        </w:tc>
        <w:tc>
          <w:tcPr>
            <w:tcW w:w="3180" w:type="dxa"/>
            <w:tcMar>
              <w:top w:w="0" w:type="dxa"/>
              <w:bottom w:w="0" w:type="dxa"/>
            </w:tcMar>
            <w:vAlign w:val="center"/>
          </w:tcPr>
          <w:p w:rsidR="00846E89" w:rsidRDefault="006A392F">
            <w:pPr>
              <w:keepNext/>
              <w:keepLines/>
              <w:spacing w:after="0" w:line="240" w:lineRule="auto"/>
            </w:pPr>
            <w:r>
              <w:rPr>
                <w:sz w:val="18"/>
              </w:rPr>
              <w:t>Računalne usluge</w:t>
            </w:r>
          </w:p>
        </w:tc>
        <w:tc>
          <w:tcPr>
            <w:tcW w:w="700" w:type="dxa"/>
            <w:tcMar>
              <w:top w:w="0" w:type="dxa"/>
              <w:bottom w:w="0" w:type="dxa"/>
            </w:tcMar>
            <w:vAlign w:val="center"/>
          </w:tcPr>
          <w:p w:rsidR="00846E89" w:rsidRDefault="006A392F">
            <w:pPr>
              <w:keepNext/>
              <w:keepLines/>
              <w:spacing w:after="0" w:line="240" w:lineRule="auto"/>
            </w:pPr>
            <w:r>
              <w:rPr>
                <w:sz w:val="18"/>
              </w:rPr>
              <w:t>3238</w:t>
            </w:r>
          </w:p>
        </w:tc>
        <w:tc>
          <w:tcPr>
            <w:tcW w:w="1860" w:type="dxa"/>
            <w:tcMar>
              <w:top w:w="0" w:type="dxa"/>
              <w:bottom w:w="0" w:type="dxa"/>
            </w:tcMar>
            <w:vAlign w:val="center"/>
          </w:tcPr>
          <w:p w:rsidR="00846E89" w:rsidRDefault="006A392F">
            <w:pPr>
              <w:keepNext/>
              <w:keepLines/>
              <w:spacing w:after="0" w:line="240" w:lineRule="auto"/>
              <w:jc w:val="right"/>
            </w:pPr>
            <w:r>
              <w:rPr>
                <w:sz w:val="18"/>
              </w:rPr>
              <w:t>3.592,34</w:t>
            </w:r>
          </w:p>
        </w:tc>
        <w:tc>
          <w:tcPr>
            <w:tcW w:w="1860" w:type="dxa"/>
            <w:tcMar>
              <w:top w:w="0" w:type="dxa"/>
              <w:bottom w:w="0" w:type="dxa"/>
            </w:tcMar>
            <w:vAlign w:val="center"/>
          </w:tcPr>
          <w:p w:rsidR="00846E89" w:rsidRDefault="006A392F">
            <w:pPr>
              <w:keepNext/>
              <w:keepLines/>
              <w:spacing w:after="0" w:line="240" w:lineRule="auto"/>
              <w:jc w:val="right"/>
            </w:pPr>
            <w:r>
              <w:rPr>
                <w:sz w:val="18"/>
              </w:rPr>
              <w:t>7.470,54</w:t>
            </w:r>
          </w:p>
        </w:tc>
        <w:tc>
          <w:tcPr>
            <w:tcW w:w="700" w:type="dxa"/>
            <w:tcMar>
              <w:top w:w="0" w:type="dxa"/>
              <w:bottom w:w="0" w:type="dxa"/>
            </w:tcMar>
            <w:vAlign w:val="center"/>
          </w:tcPr>
          <w:p w:rsidR="00846E89" w:rsidRDefault="006A392F">
            <w:pPr>
              <w:keepNext/>
              <w:keepLines/>
              <w:spacing w:after="0" w:line="240" w:lineRule="auto"/>
              <w:jc w:val="right"/>
            </w:pPr>
            <w:r>
              <w:rPr>
                <w:sz w:val="18"/>
              </w:rPr>
              <w:t>208,0</w:t>
            </w:r>
          </w:p>
        </w:tc>
      </w:tr>
    </w:tbl>
    <w:p w:rsidR="00846E89" w:rsidRDefault="00846E89">
      <w:pPr>
        <w:spacing w:after="0"/>
      </w:pPr>
    </w:p>
    <w:p w:rsidR="00846E89" w:rsidRDefault="006A392F">
      <w:pPr>
        <w:spacing w:line="240" w:lineRule="auto"/>
        <w:jc w:val="both"/>
      </w:pPr>
      <w:r>
        <w:t>Uvećanje rashoda na ovoj šifri u odnosu na isto izvještajno razdoblje prethodne godine nastalo je zbog usluga na radu aplikacija za e-upise u osnovnoškolske programe.</w:t>
      </w:r>
    </w:p>
    <w:p w:rsidR="00846E89" w:rsidRDefault="00846E89"/>
    <w:p w:rsidR="00846E89" w:rsidRDefault="006A392F">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3239</w:t>
            </w:r>
          </w:p>
        </w:tc>
        <w:tc>
          <w:tcPr>
            <w:tcW w:w="3180" w:type="dxa"/>
            <w:tcMar>
              <w:top w:w="0" w:type="dxa"/>
              <w:bottom w:w="0" w:type="dxa"/>
            </w:tcMar>
            <w:vAlign w:val="center"/>
          </w:tcPr>
          <w:p w:rsidR="00846E89" w:rsidRDefault="006A392F">
            <w:pPr>
              <w:keepNext/>
              <w:keepLines/>
              <w:spacing w:after="0" w:line="240" w:lineRule="auto"/>
            </w:pPr>
            <w:r>
              <w:rPr>
                <w:sz w:val="18"/>
              </w:rPr>
              <w:t>Ostale usluge</w:t>
            </w:r>
          </w:p>
        </w:tc>
        <w:tc>
          <w:tcPr>
            <w:tcW w:w="700" w:type="dxa"/>
            <w:tcMar>
              <w:top w:w="0" w:type="dxa"/>
              <w:bottom w:w="0" w:type="dxa"/>
            </w:tcMar>
            <w:vAlign w:val="center"/>
          </w:tcPr>
          <w:p w:rsidR="00846E89" w:rsidRDefault="006A392F">
            <w:pPr>
              <w:keepNext/>
              <w:keepLines/>
              <w:spacing w:after="0" w:line="240" w:lineRule="auto"/>
            </w:pPr>
            <w:r>
              <w:rPr>
                <w:sz w:val="18"/>
              </w:rPr>
              <w:t>3239</w:t>
            </w:r>
          </w:p>
        </w:tc>
        <w:tc>
          <w:tcPr>
            <w:tcW w:w="1860" w:type="dxa"/>
            <w:tcMar>
              <w:top w:w="0" w:type="dxa"/>
              <w:bottom w:w="0" w:type="dxa"/>
            </w:tcMar>
            <w:vAlign w:val="center"/>
          </w:tcPr>
          <w:p w:rsidR="00846E89" w:rsidRDefault="006A392F">
            <w:pPr>
              <w:keepNext/>
              <w:keepLines/>
              <w:spacing w:after="0" w:line="240" w:lineRule="auto"/>
              <w:jc w:val="right"/>
            </w:pPr>
            <w:r>
              <w:rPr>
                <w:sz w:val="18"/>
              </w:rPr>
              <w:t>50.683,53</w:t>
            </w:r>
          </w:p>
        </w:tc>
        <w:tc>
          <w:tcPr>
            <w:tcW w:w="1860" w:type="dxa"/>
            <w:tcMar>
              <w:top w:w="0" w:type="dxa"/>
              <w:bottom w:w="0" w:type="dxa"/>
            </w:tcMar>
            <w:vAlign w:val="center"/>
          </w:tcPr>
          <w:p w:rsidR="00846E89" w:rsidRDefault="006A392F">
            <w:pPr>
              <w:keepNext/>
              <w:keepLines/>
              <w:spacing w:after="0" w:line="240" w:lineRule="auto"/>
              <w:jc w:val="right"/>
            </w:pPr>
            <w:r>
              <w:rPr>
                <w:sz w:val="18"/>
              </w:rPr>
              <w:t>119.350,10</w:t>
            </w:r>
          </w:p>
        </w:tc>
        <w:tc>
          <w:tcPr>
            <w:tcW w:w="700" w:type="dxa"/>
            <w:tcMar>
              <w:top w:w="0" w:type="dxa"/>
              <w:bottom w:w="0" w:type="dxa"/>
            </w:tcMar>
            <w:vAlign w:val="center"/>
          </w:tcPr>
          <w:p w:rsidR="00846E89" w:rsidRDefault="006A392F">
            <w:pPr>
              <w:keepNext/>
              <w:keepLines/>
              <w:spacing w:after="0" w:line="240" w:lineRule="auto"/>
              <w:jc w:val="right"/>
            </w:pPr>
            <w:r>
              <w:rPr>
                <w:sz w:val="18"/>
              </w:rPr>
              <w:t>235,5</w:t>
            </w:r>
          </w:p>
        </w:tc>
      </w:tr>
    </w:tbl>
    <w:p w:rsidR="00846E89" w:rsidRDefault="00846E89">
      <w:pPr>
        <w:spacing w:after="0"/>
      </w:pPr>
    </w:p>
    <w:p w:rsidR="00846E89" w:rsidRDefault="006A392F">
      <w:pPr>
        <w:spacing w:line="240" w:lineRule="auto"/>
        <w:jc w:val="both"/>
      </w:pPr>
      <w:r>
        <w:t>Rashodi na ovoj šifri uvećani su zbog provedbe većeg broja projekata u odnosu na prošlu godinu (isto izvještajno razdoblje), te zbog globalnog uvećanja cijena dobara i usluga koje su ugovorene za redovno poslovanje Škole.</w:t>
      </w:r>
    </w:p>
    <w:p w:rsidR="00846E89" w:rsidRDefault="00846E89"/>
    <w:p w:rsidR="00846E89" w:rsidRDefault="006A392F">
      <w:pPr>
        <w:keepNext/>
        <w:spacing w:line="240" w:lineRule="auto"/>
        <w:jc w:val="center"/>
      </w:pPr>
      <w:r>
        <w:rPr>
          <w:sz w:val="28"/>
        </w:rPr>
        <w:lastRenderedPageBreak/>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324</w:t>
            </w:r>
          </w:p>
        </w:tc>
        <w:tc>
          <w:tcPr>
            <w:tcW w:w="3180" w:type="dxa"/>
            <w:tcMar>
              <w:top w:w="0" w:type="dxa"/>
              <w:bottom w:w="0" w:type="dxa"/>
            </w:tcMar>
            <w:vAlign w:val="center"/>
          </w:tcPr>
          <w:p w:rsidR="00846E89" w:rsidRDefault="006A392F">
            <w:pPr>
              <w:keepNext/>
              <w:keepLines/>
              <w:spacing w:after="0" w:line="240" w:lineRule="auto"/>
            </w:pPr>
            <w:r>
              <w:rPr>
                <w:sz w:val="18"/>
              </w:rPr>
              <w:t>Naknade troškova osobama izvan radnog odnosa</w:t>
            </w:r>
          </w:p>
        </w:tc>
        <w:tc>
          <w:tcPr>
            <w:tcW w:w="700" w:type="dxa"/>
            <w:tcMar>
              <w:top w:w="0" w:type="dxa"/>
              <w:bottom w:w="0" w:type="dxa"/>
            </w:tcMar>
            <w:vAlign w:val="center"/>
          </w:tcPr>
          <w:p w:rsidR="00846E89" w:rsidRDefault="006A392F">
            <w:pPr>
              <w:keepNext/>
              <w:keepLines/>
              <w:spacing w:after="0" w:line="240" w:lineRule="auto"/>
            </w:pPr>
            <w:r>
              <w:rPr>
                <w:sz w:val="18"/>
              </w:rPr>
              <w:t>324</w:t>
            </w:r>
          </w:p>
        </w:tc>
        <w:tc>
          <w:tcPr>
            <w:tcW w:w="1860" w:type="dxa"/>
            <w:tcMar>
              <w:top w:w="0" w:type="dxa"/>
              <w:bottom w:w="0" w:type="dxa"/>
            </w:tcMar>
            <w:vAlign w:val="center"/>
          </w:tcPr>
          <w:p w:rsidR="00846E89" w:rsidRDefault="006A392F">
            <w:pPr>
              <w:keepNext/>
              <w:keepLines/>
              <w:spacing w:after="0" w:line="240" w:lineRule="auto"/>
              <w:jc w:val="right"/>
            </w:pPr>
            <w:r>
              <w:rPr>
                <w:sz w:val="18"/>
              </w:rPr>
              <w:t>5.698,98</w:t>
            </w:r>
          </w:p>
        </w:tc>
        <w:tc>
          <w:tcPr>
            <w:tcW w:w="1860" w:type="dxa"/>
            <w:tcMar>
              <w:top w:w="0" w:type="dxa"/>
              <w:bottom w:w="0" w:type="dxa"/>
            </w:tcMar>
            <w:vAlign w:val="center"/>
          </w:tcPr>
          <w:p w:rsidR="00846E89" w:rsidRDefault="006A392F">
            <w:pPr>
              <w:keepNext/>
              <w:keepLines/>
              <w:spacing w:after="0" w:line="240" w:lineRule="auto"/>
              <w:jc w:val="right"/>
            </w:pPr>
            <w:r>
              <w:rPr>
                <w:sz w:val="18"/>
              </w:rPr>
              <w:t>11.609,90</w:t>
            </w:r>
          </w:p>
        </w:tc>
        <w:tc>
          <w:tcPr>
            <w:tcW w:w="700" w:type="dxa"/>
            <w:tcMar>
              <w:top w:w="0" w:type="dxa"/>
              <w:bottom w:w="0" w:type="dxa"/>
            </w:tcMar>
            <w:vAlign w:val="center"/>
          </w:tcPr>
          <w:p w:rsidR="00846E89" w:rsidRDefault="006A392F">
            <w:pPr>
              <w:keepNext/>
              <w:keepLines/>
              <w:spacing w:after="0" w:line="240" w:lineRule="auto"/>
              <w:jc w:val="right"/>
            </w:pPr>
            <w:r>
              <w:rPr>
                <w:sz w:val="18"/>
              </w:rPr>
              <w:t>203,7</w:t>
            </w:r>
          </w:p>
        </w:tc>
      </w:tr>
    </w:tbl>
    <w:p w:rsidR="00846E89" w:rsidRDefault="00846E89">
      <w:pPr>
        <w:spacing w:after="0"/>
      </w:pPr>
    </w:p>
    <w:p w:rsidR="00846E89" w:rsidRDefault="006A392F">
      <w:pPr>
        <w:spacing w:line="240" w:lineRule="auto"/>
        <w:jc w:val="both"/>
      </w:pPr>
      <w:r>
        <w:t xml:space="preserve">Povećanje rashoda odnosi se na troškove vanjskih suradnika za suradnju na projektima (natjecanjima, seminarima) koji su se ove godine provodili kroz duži vremenski period, te su sukladno tome svi troškovi vezani uz njih uvećani, te na isplatu financijske potpore učenicima koji su sudjelovali u </w:t>
      </w:r>
      <w:proofErr w:type="spellStart"/>
      <w:r>
        <w:t>Erasmus</w:t>
      </w:r>
      <w:proofErr w:type="spellEnd"/>
      <w:r>
        <w:t>+ projektima.</w:t>
      </w:r>
    </w:p>
    <w:p w:rsidR="00846E89" w:rsidRDefault="00846E89"/>
    <w:p w:rsidR="00846E89" w:rsidRDefault="006A392F">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329</w:t>
            </w:r>
          </w:p>
        </w:tc>
        <w:tc>
          <w:tcPr>
            <w:tcW w:w="3180" w:type="dxa"/>
            <w:tcMar>
              <w:top w:w="0" w:type="dxa"/>
              <w:bottom w:w="0" w:type="dxa"/>
            </w:tcMar>
            <w:vAlign w:val="center"/>
          </w:tcPr>
          <w:p w:rsidR="00846E89" w:rsidRDefault="006A392F">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rsidR="00846E89" w:rsidRDefault="006A392F">
            <w:pPr>
              <w:keepNext/>
              <w:keepLines/>
              <w:spacing w:after="0" w:line="240" w:lineRule="auto"/>
            </w:pPr>
            <w:r>
              <w:rPr>
                <w:sz w:val="18"/>
              </w:rPr>
              <w:t>329</w:t>
            </w:r>
          </w:p>
        </w:tc>
        <w:tc>
          <w:tcPr>
            <w:tcW w:w="1860" w:type="dxa"/>
            <w:tcMar>
              <w:top w:w="0" w:type="dxa"/>
              <w:bottom w:w="0" w:type="dxa"/>
            </w:tcMar>
            <w:vAlign w:val="center"/>
          </w:tcPr>
          <w:p w:rsidR="00846E89" w:rsidRDefault="006A392F">
            <w:pPr>
              <w:keepNext/>
              <w:keepLines/>
              <w:spacing w:after="0" w:line="240" w:lineRule="auto"/>
              <w:jc w:val="right"/>
            </w:pPr>
            <w:r>
              <w:rPr>
                <w:sz w:val="18"/>
              </w:rPr>
              <w:t>15.878,95</w:t>
            </w:r>
          </w:p>
        </w:tc>
        <w:tc>
          <w:tcPr>
            <w:tcW w:w="1860" w:type="dxa"/>
            <w:tcMar>
              <w:top w:w="0" w:type="dxa"/>
              <w:bottom w:w="0" w:type="dxa"/>
            </w:tcMar>
            <w:vAlign w:val="center"/>
          </w:tcPr>
          <w:p w:rsidR="00846E89" w:rsidRDefault="006A392F">
            <w:pPr>
              <w:keepNext/>
              <w:keepLines/>
              <w:spacing w:after="0" w:line="240" w:lineRule="auto"/>
              <w:jc w:val="right"/>
            </w:pPr>
            <w:r>
              <w:rPr>
                <w:sz w:val="18"/>
              </w:rPr>
              <w:t>31.044,35</w:t>
            </w:r>
          </w:p>
        </w:tc>
        <w:tc>
          <w:tcPr>
            <w:tcW w:w="700" w:type="dxa"/>
            <w:tcMar>
              <w:top w:w="0" w:type="dxa"/>
              <w:bottom w:w="0" w:type="dxa"/>
            </w:tcMar>
            <w:vAlign w:val="center"/>
          </w:tcPr>
          <w:p w:rsidR="00846E89" w:rsidRDefault="006A392F">
            <w:pPr>
              <w:keepNext/>
              <w:keepLines/>
              <w:spacing w:after="0" w:line="240" w:lineRule="auto"/>
              <w:jc w:val="right"/>
            </w:pPr>
            <w:r>
              <w:rPr>
                <w:sz w:val="18"/>
              </w:rPr>
              <w:t>195,5</w:t>
            </w:r>
          </w:p>
        </w:tc>
      </w:tr>
    </w:tbl>
    <w:p w:rsidR="00846E89" w:rsidRDefault="00846E89">
      <w:pPr>
        <w:spacing w:after="0"/>
      </w:pPr>
    </w:p>
    <w:p w:rsidR="00846E89" w:rsidRDefault="006A392F">
      <w:pPr>
        <w:spacing w:line="240" w:lineRule="auto"/>
        <w:jc w:val="both"/>
      </w:pPr>
      <w:r>
        <w:t>Rashodi na ovoj šifri uvećani su zbog provedbe većeg broja projekata u odnosu na prošlu godinu (isto izvještajno razdoblje), te zbog globalnog uvećanja cijena dobara i usluga koje su ugovorene za redovno poslovanje Škole.</w:t>
      </w:r>
    </w:p>
    <w:p w:rsidR="00846E89" w:rsidRDefault="00846E89"/>
    <w:p w:rsidR="00846E89" w:rsidRDefault="006A392F">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3295</w:t>
            </w:r>
          </w:p>
        </w:tc>
        <w:tc>
          <w:tcPr>
            <w:tcW w:w="3180" w:type="dxa"/>
            <w:tcMar>
              <w:top w:w="0" w:type="dxa"/>
              <w:bottom w:w="0" w:type="dxa"/>
            </w:tcMar>
            <w:vAlign w:val="center"/>
          </w:tcPr>
          <w:p w:rsidR="00846E89" w:rsidRDefault="006A392F">
            <w:pPr>
              <w:keepNext/>
              <w:keepLines/>
              <w:spacing w:after="0" w:line="240" w:lineRule="auto"/>
            </w:pPr>
            <w:r>
              <w:rPr>
                <w:sz w:val="18"/>
              </w:rPr>
              <w:t>Pristojbe i naknade</w:t>
            </w:r>
          </w:p>
        </w:tc>
        <w:tc>
          <w:tcPr>
            <w:tcW w:w="700" w:type="dxa"/>
            <w:tcMar>
              <w:top w:w="0" w:type="dxa"/>
              <w:bottom w:w="0" w:type="dxa"/>
            </w:tcMar>
            <w:vAlign w:val="center"/>
          </w:tcPr>
          <w:p w:rsidR="00846E89" w:rsidRDefault="006A392F">
            <w:pPr>
              <w:keepNext/>
              <w:keepLines/>
              <w:spacing w:after="0" w:line="240" w:lineRule="auto"/>
            </w:pPr>
            <w:r>
              <w:rPr>
                <w:sz w:val="18"/>
              </w:rPr>
              <w:t>3295</w:t>
            </w:r>
          </w:p>
        </w:tc>
        <w:tc>
          <w:tcPr>
            <w:tcW w:w="1860" w:type="dxa"/>
            <w:tcMar>
              <w:top w:w="0" w:type="dxa"/>
              <w:bottom w:w="0" w:type="dxa"/>
            </w:tcMar>
            <w:vAlign w:val="center"/>
          </w:tcPr>
          <w:p w:rsidR="00846E89" w:rsidRDefault="006A392F">
            <w:pPr>
              <w:keepNext/>
              <w:keepLines/>
              <w:spacing w:after="0" w:line="240" w:lineRule="auto"/>
              <w:jc w:val="right"/>
            </w:pPr>
            <w:r>
              <w:rPr>
                <w:sz w:val="18"/>
              </w:rPr>
              <w:t>264,96</w:t>
            </w:r>
          </w:p>
        </w:tc>
        <w:tc>
          <w:tcPr>
            <w:tcW w:w="1860" w:type="dxa"/>
            <w:tcMar>
              <w:top w:w="0" w:type="dxa"/>
              <w:bottom w:w="0" w:type="dxa"/>
            </w:tcMar>
            <w:vAlign w:val="center"/>
          </w:tcPr>
          <w:p w:rsidR="00846E89" w:rsidRDefault="006A392F">
            <w:pPr>
              <w:keepNext/>
              <w:keepLines/>
              <w:spacing w:after="0" w:line="240" w:lineRule="auto"/>
              <w:jc w:val="right"/>
            </w:pPr>
            <w:r>
              <w:rPr>
                <w:sz w:val="18"/>
              </w:rPr>
              <w:t>4.809,79</w:t>
            </w:r>
          </w:p>
        </w:tc>
        <w:tc>
          <w:tcPr>
            <w:tcW w:w="700" w:type="dxa"/>
            <w:tcMar>
              <w:top w:w="0" w:type="dxa"/>
              <w:bottom w:w="0" w:type="dxa"/>
            </w:tcMar>
            <w:vAlign w:val="center"/>
          </w:tcPr>
          <w:p w:rsidR="00846E89" w:rsidRDefault="006A392F">
            <w:pPr>
              <w:keepNext/>
              <w:keepLines/>
              <w:spacing w:after="0" w:line="240" w:lineRule="auto"/>
              <w:jc w:val="right"/>
            </w:pPr>
            <w:r>
              <w:rPr>
                <w:sz w:val="18"/>
              </w:rPr>
              <w:t>1815,3</w:t>
            </w:r>
          </w:p>
        </w:tc>
      </w:tr>
    </w:tbl>
    <w:p w:rsidR="00846E89" w:rsidRDefault="00846E89">
      <w:pPr>
        <w:spacing w:after="0"/>
      </w:pPr>
    </w:p>
    <w:p w:rsidR="00846E89" w:rsidRDefault="006A392F">
      <w:pPr>
        <w:spacing w:line="240" w:lineRule="auto"/>
        <w:jc w:val="both"/>
      </w:pPr>
      <w:r>
        <w:t xml:space="preserve">Uplata novčane naknade za </w:t>
      </w:r>
      <w:proofErr w:type="spellStart"/>
      <w:r>
        <w:t>kvotno</w:t>
      </w:r>
      <w:proofErr w:type="spellEnd"/>
      <w:r>
        <w:t xml:space="preserve"> nezapošljavanje - refundirano od strane MZO.</w:t>
      </w:r>
    </w:p>
    <w:p w:rsidR="00846E89" w:rsidRDefault="00846E89"/>
    <w:p w:rsidR="00846E89" w:rsidRDefault="006A392F">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6A392F">
            <w:pPr>
              <w:keepNext/>
              <w:keepLines/>
              <w:spacing w:after="0" w:line="240" w:lineRule="auto"/>
            </w:pPr>
            <w:r>
              <w:rPr>
                <w:sz w:val="18"/>
              </w:rPr>
              <w:t>3299</w:t>
            </w:r>
          </w:p>
        </w:tc>
        <w:tc>
          <w:tcPr>
            <w:tcW w:w="3180" w:type="dxa"/>
            <w:tcMar>
              <w:top w:w="0" w:type="dxa"/>
              <w:bottom w:w="0" w:type="dxa"/>
            </w:tcMar>
            <w:vAlign w:val="center"/>
          </w:tcPr>
          <w:p w:rsidR="00846E89" w:rsidRDefault="006A392F">
            <w:pPr>
              <w:keepNext/>
              <w:keepLines/>
              <w:spacing w:after="0" w:line="240" w:lineRule="auto"/>
            </w:pPr>
            <w:r>
              <w:rPr>
                <w:sz w:val="18"/>
              </w:rPr>
              <w:t>Ostali nespomenuti rashodi poslovanja</w:t>
            </w:r>
          </w:p>
        </w:tc>
        <w:tc>
          <w:tcPr>
            <w:tcW w:w="700" w:type="dxa"/>
            <w:tcMar>
              <w:top w:w="0" w:type="dxa"/>
              <w:bottom w:w="0" w:type="dxa"/>
            </w:tcMar>
            <w:vAlign w:val="center"/>
          </w:tcPr>
          <w:p w:rsidR="00846E89" w:rsidRDefault="006A392F">
            <w:pPr>
              <w:keepNext/>
              <w:keepLines/>
              <w:spacing w:after="0" w:line="240" w:lineRule="auto"/>
            </w:pPr>
            <w:r>
              <w:rPr>
                <w:sz w:val="18"/>
              </w:rPr>
              <w:t>3299</w:t>
            </w:r>
          </w:p>
        </w:tc>
        <w:tc>
          <w:tcPr>
            <w:tcW w:w="1860" w:type="dxa"/>
            <w:tcMar>
              <w:top w:w="0" w:type="dxa"/>
              <w:bottom w:w="0" w:type="dxa"/>
            </w:tcMar>
            <w:vAlign w:val="center"/>
          </w:tcPr>
          <w:p w:rsidR="00846E89" w:rsidRDefault="006A392F">
            <w:pPr>
              <w:keepNext/>
              <w:keepLines/>
              <w:spacing w:after="0" w:line="240" w:lineRule="auto"/>
              <w:jc w:val="right"/>
            </w:pPr>
            <w:r>
              <w:rPr>
                <w:sz w:val="18"/>
              </w:rPr>
              <w:t>7.642,02</w:t>
            </w:r>
          </w:p>
        </w:tc>
        <w:tc>
          <w:tcPr>
            <w:tcW w:w="1860" w:type="dxa"/>
            <w:tcMar>
              <w:top w:w="0" w:type="dxa"/>
              <w:bottom w:w="0" w:type="dxa"/>
            </w:tcMar>
            <w:vAlign w:val="center"/>
          </w:tcPr>
          <w:p w:rsidR="00846E89" w:rsidRDefault="006A392F">
            <w:pPr>
              <w:keepNext/>
              <w:keepLines/>
              <w:spacing w:after="0" w:line="240" w:lineRule="auto"/>
              <w:jc w:val="right"/>
            </w:pPr>
            <w:r>
              <w:rPr>
                <w:sz w:val="18"/>
              </w:rPr>
              <w:t>18.075,89</w:t>
            </w:r>
          </w:p>
        </w:tc>
        <w:tc>
          <w:tcPr>
            <w:tcW w:w="700" w:type="dxa"/>
            <w:tcMar>
              <w:top w:w="0" w:type="dxa"/>
              <w:bottom w:w="0" w:type="dxa"/>
            </w:tcMar>
            <w:vAlign w:val="center"/>
          </w:tcPr>
          <w:p w:rsidR="00846E89" w:rsidRDefault="006A392F">
            <w:pPr>
              <w:keepNext/>
              <w:keepLines/>
              <w:spacing w:after="0" w:line="240" w:lineRule="auto"/>
              <w:jc w:val="right"/>
            </w:pPr>
            <w:r>
              <w:rPr>
                <w:sz w:val="18"/>
              </w:rPr>
              <w:t>236,5</w:t>
            </w:r>
          </w:p>
        </w:tc>
      </w:tr>
    </w:tbl>
    <w:p w:rsidR="00846E89" w:rsidRDefault="00846E89">
      <w:pPr>
        <w:spacing w:after="0"/>
      </w:pPr>
    </w:p>
    <w:p w:rsidR="00846E89" w:rsidRDefault="006A392F">
      <w:pPr>
        <w:spacing w:line="240" w:lineRule="auto"/>
        <w:jc w:val="both"/>
      </w:pPr>
      <w:r>
        <w:t xml:space="preserve">Povećanje u odnosu na prošlu godinu zbog evidentiranja rashoda u svrhu </w:t>
      </w:r>
      <w:proofErr w:type="spellStart"/>
      <w:r>
        <w:t>Erasmus</w:t>
      </w:r>
      <w:proofErr w:type="spellEnd"/>
      <w:r>
        <w:t>+ projekata.</w:t>
      </w:r>
    </w:p>
    <w:p w:rsidR="00846E89" w:rsidRDefault="00846E89"/>
    <w:p w:rsidR="00846E89" w:rsidRDefault="006A392F">
      <w:pPr>
        <w:keepNext/>
        <w:spacing w:line="240" w:lineRule="auto"/>
        <w:jc w:val="center"/>
      </w:pPr>
      <w:r>
        <w:rPr>
          <w:b/>
          <w:sz w:val="28"/>
        </w:rPr>
        <w:lastRenderedPageBreak/>
        <w:t>Izvještaj o obvezama</w:t>
      </w:r>
    </w:p>
    <w:p w:rsidR="00846E89" w:rsidRDefault="006A392F">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846E89">
        <w:trPr>
          <w:cantSplit/>
        </w:trPr>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846E89" w:rsidRDefault="006A392F">
            <w:pPr>
              <w:keepNext/>
              <w:keepLines/>
              <w:spacing w:after="0" w:line="240" w:lineRule="auto"/>
              <w:jc w:val="center"/>
            </w:pPr>
            <w:r>
              <w:rPr>
                <w:b/>
                <w:sz w:val="18"/>
              </w:rPr>
              <w:t>Indeks (%)</w:t>
            </w:r>
          </w:p>
        </w:tc>
      </w:tr>
      <w:tr w:rsidR="00846E89">
        <w:trPr>
          <w:cantSplit/>
          <w:trHeight w:val="560"/>
        </w:trPr>
        <w:tc>
          <w:tcPr>
            <w:tcW w:w="700" w:type="dxa"/>
            <w:tcMar>
              <w:top w:w="0" w:type="dxa"/>
              <w:bottom w:w="0" w:type="dxa"/>
            </w:tcMar>
            <w:vAlign w:val="center"/>
          </w:tcPr>
          <w:p w:rsidR="00846E89" w:rsidRDefault="00846E89">
            <w:pPr>
              <w:keepNext/>
              <w:keepLines/>
              <w:spacing w:after="0" w:line="240" w:lineRule="auto"/>
            </w:pPr>
          </w:p>
        </w:tc>
        <w:tc>
          <w:tcPr>
            <w:tcW w:w="3180" w:type="dxa"/>
            <w:tcMar>
              <w:top w:w="0" w:type="dxa"/>
              <w:bottom w:w="0" w:type="dxa"/>
            </w:tcMar>
            <w:vAlign w:val="center"/>
          </w:tcPr>
          <w:p w:rsidR="00846E89" w:rsidRDefault="006A392F">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846E89" w:rsidRDefault="006A392F">
            <w:pPr>
              <w:keepNext/>
              <w:keepLines/>
              <w:spacing w:after="0" w:line="240" w:lineRule="auto"/>
            </w:pPr>
            <w:r>
              <w:rPr>
                <w:sz w:val="18"/>
              </w:rPr>
              <w:t>V007</w:t>
            </w:r>
          </w:p>
        </w:tc>
        <w:tc>
          <w:tcPr>
            <w:tcW w:w="1860" w:type="dxa"/>
            <w:tcMar>
              <w:top w:w="0" w:type="dxa"/>
              <w:bottom w:w="0" w:type="dxa"/>
            </w:tcMar>
            <w:vAlign w:val="center"/>
          </w:tcPr>
          <w:p w:rsidR="00846E89" w:rsidRDefault="006A392F">
            <w:pPr>
              <w:keepNext/>
              <w:keepLines/>
              <w:spacing w:after="0" w:line="240" w:lineRule="auto"/>
              <w:jc w:val="right"/>
            </w:pPr>
            <w:r>
              <w:rPr>
                <w:sz w:val="18"/>
              </w:rPr>
              <w:t>0,00</w:t>
            </w:r>
          </w:p>
        </w:tc>
        <w:tc>
          <w:tcPr>
            <w:tcW w:w="700" w:type="dxa"/>
            <w:tcMar>
              <w:top w:w="0" w:type="dxa"/>
              <w:bottom w:w="0" w:type="dxa"/>
            </w:tcMar>
            <w:vAlign w:val="center"/>
          </w:tcPr>
          <w:p w:rsidR="00846E89" w:rsidRDefault="006A392F">
            <w:pPr>
              <w:keepNext/>
              <w:keepLines/>
              <w:spacing w:after="0" w:line="240" w:lineRule="auto"/>
              <w:jc w:val="right"/>
            </w:pPr>
            <w:r>
              <w:rPr>
                <w:sz w:val="18"/>
              </w:rPr>
              <w:t>-</w:t>
            </w:r>
          </w:p>
        </w:tc>
      </w:tr>
    </w:tbl>
    <w:p w:rsidR="00846E89" w:rsidRDefault="00846E89">
      <w:pPr>
        <w:spacing w:after="0"/>
      </w:pPr>
    </w:p>
    <w:p w:rsidR="00BA2171" w:rsidRDefault="006A392F">
      <w:pPr>
        <w:spacing w:line="240" w:lineRule="auto"/>
        <w:jc w:val="both"/>
      </w:pPr>
      <w:r>
        <w:t>Na kraju izvještajnog razdoblja nema obveza čije je dospijeće bilo 30. lipnja 2025. ili ranije.</w:t>
      </w:r>
    </w:p>
    <w:p w:rsidR="00BA2171" w:rsidRDefault="006A392F">
      <w:pPr>
        <w:spacing w:line="240" w:lineRule="auto"/>
        <w:jc w:val="both"/>
      </w:pPr>
      <w:r>
        <w:t xml:space="preserve">  </w:t>
      </w:r>
      <w:r w:rsidRPr="00BA2171">
        <w:rPr>
          <w:i/>
        </w:rPr>
        <w:t>Šifra V006</w:t>
      </w:r>
      <w:r>
        <w:t xml:space="preserve"> – Stanje obveza na kraju izvještajnog razdoblja 327.192,66 eura.</w:t>
      </w:r>
    </w:p>
    <w:p w:rsidR="00BA2171" w:rsidRDefault="006A392F">
      <w:pPr>
        <w:spacing w:line="240" w:lineRule="auto"/>
        <w:jc w:val="both"/>
      </w:pPr>
      <w:r>
        <w:t xml:space="preserve"> Stanje nedospjelih obveza u iznosu od 327.192,66 eura odnosi se na:</w:t>
      </w:r>
    </w:p>
    <w:p w:rsidR="00BA2171" w:rsidRDefault="006A392F">
      <w:pPr>
        <w:spacing w:line="240" w:lineRule="auto"/>
        <w:jc w:val="both"/>
      </w:pPr>
      <w:r>
        <w:t xml:space="preserve"> - obveze za zaposlene za lipanj 2025. godine u iznosu od 286.374,07 eura </w:t>
      </w:r>
    </w:p>
    <w:p w:rsidR="00BA2171" w:rsidRDefault="006A392F">
      <w:pPr>
        <w:spacing w:line="240" w:lineRule="auto"/>
        <w:jc w:val="both"/>
      </w:pPr>
      <w:r>
        <w:t xml:space="preserve">- obveze za ostale rashode poslovanja (dospijeće u srpnju 2025.) u iznosu od 6.729,48 eura </w:t>
      </w:r>
    </w:p>
    <w:p w:rsidR="00BA2171" w:rsidRDefault="006A392F">
      <w:pPr>
        <w:spacing w:line="240" w:lineRule="auto"/>
        <w:jc w:val="both"/>
      </w:pPr>
      <w:r>
        <w:t xml:space="preserve">- obveze za </w:t>
      </w:r>
      <w:proofErr w:type="spellStart"/>
      <w:r>
        <w:t>jamčevne</w:t>
      </w:r>
      <w:proofErr w:type="spellEnd"/>
      <w:r>
        <w:t xml:space="preserve"> </w:t>
      </w:r>
      <w:proofErr w:type="spellStart"/>
      <w:r>
        <w:t>pologe</w:t>
      </w:r>
      <w:proofErr w:type="spellEnd"/>
      <w:r>
        <w:t xml:space="preserve"> 100 eura</w:t>
      </w:r>
    </w:p>
    <w:p w:rsidR="00BA2171" w:rsidRDefault="006A392F">
      <w:pPr>
        <w:spacing w:line="240" w:lineRule="auto"/>
        <w:jc w:val="both"/>
      </w:pPr>
      <w:r>
        <w:t xml:space="preserve"> - obveze za povrat u proračun - bolovanje HZZO u iznosu od 5.245,36 </w:t>
      </w:r>
    </w:p>
    <w:p w:rsidR="00846E89" w:rsidRDefault="006A392F">
      <w:pPr>
        <w:spacing w:line="240" w:lineRule="auto"/>
        <w:jc w:val="both"/>
      </w:pPr>
      <w:bookmarkStart w:id="0" w:name="_GoBack"/>
      <w:bookmarkEnd w:id="0"/>
      <w:r>
        <w:t>- obveze proračunskih korisnika za povrat u proračun 28.743,75 eura - dana 23.01.2025., na temelju zahtjeva za nadoknadu sredstava za projekt „Dogradnja i energetska obnova Glazbene škole u Varaždinu“, od strane Ministarstva regionalnog razvoja i fondova Europske unije zaprimili smo navedeni iznos, te će se sredstva do kraja godine vratiti u proračun.</w:t>
      </w:r>
    </w:p>
    <w:p w:rsidR="00846E89" w:rsidRDefault="00846E89"/>
    <w:sectPr w:rsidR="00846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89"/>
    <w:rsid w:val="006A392F"/>
    <w:rsid w:val="00846E89"/>
    <w:rsid w:val="00BA2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E469"/>
  <w15:docId w15:val="{75A54794-85D2-4F7D-B897-8E45F3FA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2071</Words>
  <Characters>11809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2025-07-10T07:17:00Z</dcterms:created>
  <dcterms:modified xsi:type="dcterms:W3CDTF">2025-07-10T07:25:00Z</dcterms:modified>
</cp:coreProperties>
</file>